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584"/>
        <w:gridCol w:w="2584"/>
        <w:gridCol w:w="2583"/>
        <w:gridCol w:w="2612"/>
        <w:gridCol w:w="2587"/>
      </w:tblGrid>
      <w:tr w:rsidR="009043D5" w:rsidRPr="00420188" w14:paraId="1165267A" w14:textId="77777777" w:rsidTr="003C1A66">
        <w:trPr>
          <w:trHeight w:val="694"/>
        </w:trPr>
        <w:tc>
          <w:tcPr>
            <w:tcW w:w="12950" w:type="dxa"/>
            <w:gridSpan w:val="5"/>
            <w:shd w:val="clear" w:color="auto" w:fill="D9E2F3" w:themeFill="accent1" w:themeFillTint="33"/>
          </w:tcPr>
          <w:p w14:paraId="65DE5CAD" w14:textId="77777777" w:rsidR="009043D5" w:rsidRPr="009043D5" w:rsidRDefault="009043D5" w:rsidP="009043D5">
            <w:pPr>
              <w:spacing w:after="0"/>
              <w:jc w:val="center"/>
              <w:rPr>
                <w:b/>
                <w:bCs/>
                <w:sz w:val="28"/>
                <w:szCs w:val="28"/>
              </w:rPr>
            </w:pPr>
            <w:r w:rsidRPr="009043D5">
              <w:rPr>
                <w:b/>
                <w:bCs/>
                <w:sz w:val="28"/>
                <w:szCs w:val="28"/>
              </w:rPr>
              <w:t>People and Technology Division Plans (2024+)</w:t>
            </w:r>
          </w:p>
          <w:p w14:paraId="1E96571B" w14:textId="77777777" w:rsidR="009043D5" w:rsidRPr="009043D5" w:rsidRDefault="009043D5" w:rsidP="009043D5">
            <w:pPr>
              <w:spacing w:after="0"/>
              <w:jc w:val="center"/>
              <w:rPr>
                <w:b/>
                <w:bCs/>
              </w:rPr>
            </w:pPr>
          </w:p>
          <w:p w14:paraId="08985CC3" w14:textId="77777777" w:rsidR="009043D5" w:rsidRPr="009043D5" w:rsidRDefault="009043D5" w:rsidP="009043D5">
            <w:pPr>
              <w:spacing w:after="0"/>
              <w:jc w:val="center"/>
              <w:rPr>
                <w:b/>
                <w:bCs/>
                <w:sz w:val="28"/>
                <w:szCs w:val="28"/>
              </w:rPr>
            </w:pPr>
            <w:r w:rsidRPr="009043D5">
              <w:rPr>
                <w:b/>
                <w:bCs/>
                <w:sz w:val="28"/>
                <w:szCs w:val="28"/>
              </w:rPr>
              <w:t xml:space="preserve">People and Technology Division Mission: </w:t>
            </w:r>
          </w:p>
          <w:p w14:paraId="582B4FEC" w14:textId="77777777" w:rsidR="009043D5" w:rsidRPr="009043D5" w:rsidRDefault="009043D5" w:rsidP="009043D5">
            <w:pPr>
              <w:spacing w:after="0"/>
              <w:jc w:val="center"/>
              <w:rPr>
                <w:sz w:val="24"/>
                <w:szCs w:val="24"/>
              </w:rPr>
            </w:pPr>
            <w:r w:rsidRPr="009043D5">
              <w:rPr>
                <w:b/>
                <w:bCs/>
                <w:sz w:val="24"/>
                <w:szCs w:val="24"/>
              </w:rPr>
              <w:t xml:space="preserve">ITS: </w:t>
            </w:r>
            <w:r w:rsidRPr="009043D5">
              <w:rPr>
                <w:sz w:val="24"/>
                <w:szCs w:val="24"/>
              </w:rPr>
              <w:t>Information Technology Services is committed to providing secure, robust, student-centered technology and information resources to those who Central Oregon Community College serves.</w:t>
            </w:r>
          </w:p>
          <w:p w14:paraId="10A5FB96" w14:textId="77777777" w:rsidR="009043D5" w:rsidRPr="009043D5" w:rsidRDefault="009043D5" w:rsidP="009043D5">
            <w:pPr>
              <w:spacing w:after="0"/>
              <w:jc w:val="center"/>
              <w:rPr>
                <w:sz w:val="24"/>
                <w:szCs w:val="24"/>
              </w:rPr>
            </w:pPr>
            <w:r w:rsidRPr="009043D5">
              <w:rPr>
                <w:b/>
                <w:bCs/>
                <w:sz w:val="24"/>
                <w:szCs w:val="24"/>
              </w:rPr>
              <w:t xml:space="preserve">HR: </w:t>
            </w:r>
            <w:r w:rsidRPr="009043D5">
              <w:rPr>
                <w:sz w:val="24"/>
                <w:szCs w:val="24"/>
              </w:rPr>
              <w:t>The HR Department is dedicated to fostering a supportive and inclusive work environment. We assist with labor and employee relations, recruitment, selection, and retention of faculty and staff, as well as classification, compensation, equal opportunity, and training and development. Our mission is to partner with the college community to achieve its objectives through effective employee management and development.</w:t>
            </w:r>
          </w:p>
          <w:p w14:paraId="4AB15DB8" w14:textId="77777777" w:rsidR="009043D5" w:rsidRPr="009043D5" w:rsidRDefault="009043D5" w:rsidP="009043D5">
            <w:pPr>
              <w:spacing w:after="0"/>
              <w:jc w:val="center"/>
              <w:rPr>
                <w:b/>
                <w:bCs/>
                <w:sz w:val="20"/>
                <w:szCs w:val="20"/>
              </w:rPr>
            </w:pPr>
          </w:p>
        </w:tc>
      </w:tr>
      <w:tr w:rsidR="009043D5" w:rsidRPr="00420188" w14:paraId="6860DAD3" w14:textId="77777777" w:rsidTr="009043D5">
        <w:tc>
          <w:tcPr>
            <w:tcW w:w="12950" w:type="dxa"/>
            <w:gridSpan w:val="5"/>
            <w:shd w:val="clear" w:color="auto" w:fill="D9E2F3" w:themeFill="accent1" w:themeFillTint="33"/>
          </w:tcPr>
          <w:p w14:paraId="655E293C" w14:textId="56896B39" w:rsidR="009043D5" w:rsidRPr="00420188" w:rsidRDefault="009043D5" w:rsidP="009043D5">
            <w:pPr>
              <w:spacing w:after="0"/>
              <w:jc w:val="center"/>
              <w:rPr>
                <w:b/>
                <w:bCs/>
                <w:sz w:val="28"/>
                <w:szCs w:val="28"/>
              </w:rPr>
            </w:pPr>
            <w:r>
              <w:rPr>
                <w:b/>
                <w:bCs/>
                <w:sz w:val="28"/>
                <w:szCs w:val="28"/>
              </w:rPr>
              <w:t xml:space="preserve">COCC </w:t>
            </w:r>
            <w:r w:rsidRPr="00420188">
              <w:rPr>
                <w:b/>
                <w:bCs/>
                <w:sz w:val="28"/>
                <w:szCs w:val="28"/>
              </w:rPr>
              <w:t>Strategic Goals</w:t>
            </w:r>
            <w:r>
              <w:rPr>
                <w:b/>
                <w:bCs/>
                <w:sz w:val="28"/>
                <w:szCs w:val="28"/>
              </w:rPr>
              <w:t xml:space="preserve"> and Supporting Advancement Projects</w:t>
            </w:r>
          </w:p>
        </w:tc>
      </w:tr>
      <w:tr w:rsidR="009043D5" w:rsidRPr="00420188" w14:paraId="5F62B762" w14:textId="77777777" w:rsidTr="003C1A66">
        <w:tc>
          <w:tcPr>
            <w:tcW w:w="2584" w:type="dxa"/>
            <w:shd w:val="clear" w:color="auto" w:fill="FBE4D5" w:themeFill="accent2" w:themeFillTint="33"/>
          </w:tcPr>
          <w:p w14:paraId="7081C67F" w14:textId="77777777" w:rsidR="009043D5" w:rsidRPr="00420188" w:rsidRDefault="009043D5" w:rsidP="009043D5">
            <w:pPr>
              <w:spacing w:after="0"/>
              <w:jc w:val="center"/>
              <w:rPr>
                <w:b/>
                <w:bCs/>
                <w:sz w:val="28"/>
                <w:szCs w:val="28"/>
              </w:rPr>
            </w:pPr>
            <w:r w:rsidRPr="00420188">
              <w:rPr>
                <w:b/>
                <w:bCs/>
                <w:sz w:val="28"/>
                <w:szCs w:val="28"/>
              </w:rPr>
              <w:t>Student-Ready</w:t>
            </w:r>
          </w:p>
        </w:tc>
        <w:tc>
          <w:tcPr>
            <w:tcW w:w="2584" w:type="dxa"/>
            <w:shd w:val="clear" w:color="auto" w:fill="FBE4D5" w:themeFill="accent2" w:themeFillTint="33"/>
          </w:tcPr>
          <w:p w14:paraId="3DA8EE79" w14:textId="77777777" w:rsidR="009043D5" w:rsidRPr="00420188" w:rsidRDefault="009043D5" w:rsidP="009043D5">
            <w:pPr>
              <w:spacing w:after="0"/>
              <w:jc w:val="center"/>
              <w:rPr>
                <w:b/>
                <w:bCs/>
                <w:sz w:val="28"/>
                <w:szCs w:val="28"/>
              </w:rPr>
            </w:pPr>
            <w:r w:rsidRPr="00420188">
              <w:rPr>
                <w:b/>
                <w:bCs/>
                <w:sz w:val="28"/>
                <w:szCs w:val="28"/>
              </w:rPr>
              <w:t>Access</w:t>
            </w:r>
          </w:p>
        </w:tc>
        <w:tc>
          <w:tcPr>
            <w:tcW w:w="2583" w:type="dxa"/>
            <w:shd w:val="clear" w:color="auto" w:fill="FBE4D5" w:themeFill="accent2" w:themeFillTint="33"/>
          </w:tcPr>
          <w:p w14:paraId="14D16702" w14:textId="77777777" w:rsidR="009043D5" w:rsidRPr="00420188" w:rsidRDefault="009043D5" w:rsidP="009043D5">
            <w:pPr>
              <w:spacing w:after="0"/>
              <w:jc w:val="center"/>
              <w:rPr>
                <w:b/>
                <w:bCs/>
                <w:sz w:val="28"/>
                <w:szCs w:val="28"/>
              </w:rPr>
            </w:pPr>
            <w:r w:rsidRPr="00420188">
              <w:rPr>
                <w:b/>
                <w:bCs/>
                <w:sz w:val="28"/>
                <w:szCs w:val="28"/>
              </w:rPr>
              <w:t>Community Engagement</w:t>
            </w:r>
          </w:p>
        </w:tc>
        <w:tc>
          <w:tcPr>
            <w:tcW w:w="2612" w:type="dxa"/>
            <w:shd w:val="clear" w:color="auto" w:fill="FBE4D5" w:themeFill="accent2" w:themeFillTint="33"/>
          </w:tcPr>
          <w:p w14:paraId="40698368" w14:textId="77777777" w:rsidR="009043D5" w:rsidRPr="00420188" w:rsidRDefault="009043D5" w:rsidP="009043D5">
            <w:pPr>
              <w:spacing w:after="0"/>
              <w:jc w:val="center"/>
              <w:rPr>
                <w:b/>
                <w:bCs/>
                <w:sz w:val="28"/>
                <w:szCs w:val="28"/>
              </w:rPr>
            </w:pPr>
            <w:r w:rsidRPr="00420188">
              <w:rPr>
                <w:b/>
                <w:bCs/>
                <w:sz w:val="28"/>
                <w:szCs w:val="28"/>
              </w:rPr>
              <w:t>Workforce Development</w:t>
            </w:r>
          </w:p>
        </w:tc>
        <w:tc>
          <w:tcPr>
            <w:tcW w:w="2587" w:type="dxa"/>
            <w:shd w:val="clear" w:color="auto" w:fill="FBE4D5" w:themeFill="accent2" w:themeFillTint="33"/>
          </w:tcPr>
          <w:p w14:paraId="2AE2F1CB" w14:textId="77777777" w:rsidR="009043D5" w:rsidRPr="00420188" w:rsidRDefault="009043D5" w:rsidP="009043D5">
            <w:pPr>
              <w:spacing w:after="0"/>
              <w:jc w:val="center"/>
              <w:rPr>
                <w:b/>
                <w:bCs/>
                <w:sz w:val="28"/>
                <w:szCs w:val="28"/>
              </w:rPr>
            </w:pPr>
            <w:r w:rsidRPr="00420188">
              <w:rPr>
                <w:b/>
                <w:bCs/>
                <w:sz w:val="28"/>
                <w:szCs w:val="28"/>
              </w:rPr>
              <w:t>College Sustainability</w:t>
            </w:r>
          </w:p>
        </w:tc>
      </w:tr>
      <w:tr w:rsidR="009043D5" w:rsidRPr="00BE704C" w14:paraId="1801905A" w14:textId="77777777" w:rsidTr="003C1A66">
        <w:tc>
          <w:tcPr>
            <w:tcW w:w="2584" w:type="dxa"/>
            <w:shd w:val="clear" w:color="auto" w:fill="auto"/>
          </w:tcPr>
          <w:p w14:paraId="6922251B" w14:textId="77777777" w:rsidR="009043D5" w:rsidRPr="00A574DC" w:rsidRDefault="009043D5" w:rsidP="009043D5">
            <w:pPr>
              <w:pStyle w:val="ListParagraph"/>
              <w:numPr>
                <w:ilvl w:val="0"/>
                <w:numId w:val="1"/>
              </w:numPr>
              <w:spacing w:after="0" w:line="240" w:lineRule="auto"/>
              <w:ind w:left="231" w:hanging="256"/>
            </w:pPr>
            <w:r w:rsidRPr="00A574DC">
              <w:t>Dental Lab upgrades</w:t>
            </w:r>
          </w:p>
          <w:p w14:paraId="5DF67C56" w14:textId="77777777" w:rsidR="009043D5" w:rsidRPr="00A574DC" w:rsidRDefault="009043D5" w:rsidP="009043D5">
            <w:pPr>
              <w:pStyle w:val="ListParagraph"/>
              <w:numPr>
                <w:ilvl w:val="0"/>
                <w:numId w:val="1"/>
              </w:numPr>
              <w:spacing w:after="0" w:line="240" w:lineRule="auto"/>
              <w:ind w:left="231" w:hanging="256"/>
            </w:pPr>
            <w:r w:rsidRPr="00A574DC">
              <w:t>Nursing SIM lab</w:t>
            </w:r>
          </w:p>
          <w:p w14:paraId="540CCEED" w14:textId="77777777" w:rsidR="009043D5" w:rsidRPr="00A574DC" w:rsidRDefault="009043D5" w:rsidP="009043D5">
            <w:pPr>
              <w:pStyle w:val="ListParagraph"/>
              <w:numPr>
                <w:ilvl w:val="0"/>
                <w:numId w:val="1"/>
              </w:numPr>
              <w:spacing w:after="0" w:line="240" w:lineRule="auto"/>
              <w:ind w:left="231" w:hanging="256"/>
            </w:pPr>
            <w:proofErr w:type="spellStart"/>
            <w:r w:rsidRPr="00A574DC">
              <w:t>MyHUB</w:t>
            </w:r>
            <w:proofErr w:type="spellEnd"/>
            <w:r w:rsidRPr="00A574DC">
              <w:t xml:space="preserve"> by NSC</w:t>
            </w:r>
          </w:p>
          <w:p w14:paraId="0A6B3238" w14:textId="77777777" w:rsidR="009043D5" w:rsidRPr="00A574DC" w:rsidRDefault="009043D5" w:rsidP="009043D5">
            <w:pPr>
              <w:pStyle w:val="ListParagraph"/>
              <w:numPr>
                <w:ilvl w:val="0"/>
                <w:numId w:val="1"/>
              </w:numPr>
              <w:spacing w:after="0" w:line="240" w:lineRule="auto"/>
              <w:ind w:left="231" w:hanging="256"/>
            </w:pPr>
            <w:r w:rsidRPr="00A574DC">
              <w:t>Classroom Crestron upgrades</w:t>
            </w:r>
          </w:p>
          <w:p w14:paraId="4D7232D5" w14:textId="77777777" w:rsidR="009043D5" w:rsidRPr="00A574DC" w:rsidRDefault="009043D5" w:rsidP="009043D5">
            <w:pPr>
              <w:pStyle w:val="ListParagraph"/>
              <w:numPr>
                <w:ilvl w:val="0"/>
                <w:numId w:val="1"/>
              </w:numPr>
              <w:spacing w:after="0" w:line="240" w:lineRule="auto"/>
              <w:ind w:left="231" w:hanging="256"/>
            </w:pPr>
            <w:r w:rsidRPr="00A574DC">
              <w:t>Streamlined hiring of student employees</w:t>
            </w:r>
          </w:p>
          <w:p w14:paraId="311500D4" w14:textId="77777777" w:rsidR="009043D5" w:rsidRDefault="009043D5" w:rsidP="009043D5">
            <w:pPr>
              <w:pStyle w:val="ListParagraph"/>
              <w:numPr>
                <w:ilvl w:val="0"/>
                <w:numId w:val="1"/>
              </w:numPr>
              <w:spacing w:after="0" w:line="240" w:lineRule="auto"/>
              <w:ind w:left="231" w:hanging="256"/>
            </w:pPr>
            <w:r w:rsidRPr="00A574DC">
              <w:t>Continued enhancements to Student Tech services</w:t>
            </w:r>
          </w:p>
          <w:p w14:paraId="0DCD8AA1" w14:textId="77777777" w:rsidR="009043D5" w:rsidRPr="00A574DC" w:rsidRDefault="009043D5" w:rsidP="009043D5">
            <w:pPr>
              <w:pStyle w:val="ListParagraph"/>
              <w:numPr>
                <w:ilvl w:val="0"/>
                <w:numId w:val="1"/>
              </w:numPr>
              <w:spacing w:after="0" w:line="240" w:lineRule="auto"/>
              <w:ind w:left="231" w:hanging="256"/>
            </w:pPr>
            <w:r>
              <w:t>CRM replacement</w:t>
            </w:r>
          </w:p>
        </w:tc>
        <w:tc>
          <w:tcPr>
            <w:tcW w:w="2584" w:type="dxa"/>
            <w:shd w:val="clear" w:color="auto" w:fill="auto"/>
          </w:tcPr>
          <w:p w14:paraId="214BEC27" w14:textId="77777777" w:rsidR="009043D5" w:rsidRPr="00A574DC" w:rsidRDefault="009043D5" w:rsidP="009043D5">
            <w:pPr>
              <w:pStyle w:val="ListParagraph"/>
              <w:numPr>
                <w:ilvl w:val="0"/>
                <w:numId w:val="1"/>
              </w:numPr>
              <w:spacing w:after="0" w:line="240" w:lineRule="auto"/>
              <w:ind w:left="231" w:hanging="256"/>
            </w:pPr>
            <w:r w:rsidRPr="00A574DC">
              <w:t>Addition of more streaming classrooms and laptops</w:t>
            </w:r>
          </w:p>
          <w:p w14:paraId="78AF4757" w14:textId="77777777" w:rsidR="009043D5" w:rsidRPr="00A574DC" w:rsidRDefault="009043D5" w:rsidP="009043D5">
            <w:pPr>
              <w:pStyle w:val="ListParagraph"/>
              <w:numPr>
                <w:ilvl w:val="0"/>
                <w:numId w:val="1"/>
              </w:numPr>
              <w:spacing w:after="0" w:line="240" w:lineRule="auto"/>
              <w:ind w:left="231" w:hanging="256"/>
            </w:pPr>
            <w:r w:rsidRPr="00A574DC">
              <w:t>ADA Testing Center</w:t>
            </w:r>
          </w:p>
          <w:p w14:paraId="7750D721" w14:textId="77777777" w:rsidR="009043D5" w:rsidRPr="00A574DC" w:rsidRDefault="009043D5" w:rsidP="009043D5">
            <w:pPr>
              <w:pStyle w:val="ListParagraph"/>
              <w:numPr>
                <w:ilvl w:val="0"/>
                <w:numId w:val="1"/>
              </w:numPr>
              <w:spacing w:after="0" w:line="240" w:lineRule="auto"/>
              <w:ind w:left="231" w:hanging="256"/>
            </w:pPr>
            <w:r>
              <w:t>Collaborations</w:t>
            </w:r>
            <w:r w:rsidRPr="00A574DC">
              <w:t xml:space="preserve"> with MPR and Disability services on website accessibility</w:t>
            </w:r>
            <w:r>
              <w:t xml:space="preserve"> compliance</w:t>
            </w:r>
          </w:p>
        </w:tc>
        <w:tc>
          <w:tcPr>
            <w:tcW w:w="2583" w:type="dxa"/>
            <w:shd w:val="clear" w:color="auto" w:fill="auto"/>
          </w:tcPr>
          <w:p w14:paraId="7359F702" w14:textId="77777777" w:rsidR="009043D5" w:rsidRPr="00A574DC" w:rsidRDefault="009043D5" w:rsidP="009043D5">
            <w:pPr>
              <w:pStyle w:val="ListParagraph"/>
              <w:numPr>
                <w:ilvl w:val="0"/>
                <w:numId w:val="1"/>
              </w:numPr>
              <w:spacing w:after="0" w:line="240" w:lineRule="auto"/>
              <w:ind w:left="231" w:hanging="256"/>
            </w:pPr>
            <w:r w:rsidRPr="00A574DC">
              <w:t xml:space="preserve">Wille Hall </w:t>
            </w:r>
            <w:r>
              <w:t>u</w:t>
            </w:r>
            <w:r w:rsidRPr="00A574DC">
              <w:t>pgrades</w:t>
            </w:r>
          </w:p>
          <w:p w14:paraId="5D6608D4" w14:textId="77777777" w:rsidR="009043D5" w:rsidRPr="00A574DC" w:rsidRDefault="009043D5" w:rsidP="009043D5">
            <w:pPr>
              <w:pStyle w:val="ListParagraph"/>
              <w:numPr>
                <w:ilvl w:val="0"/>
                <w:numId w:val="1"/>
              </w:numPr>
              <w:spacing w:after="0" w:line="240" w:lineRule="auto"/>
              <w:ind w:left="231" w:hanging="256"/>
            </w:pPr>
            <w:r w:rsidRPr="00A574DC">
              <w:t xml:space="preserve">Improved </w:t>
            </w:r>
            <w:r>
              <w:t>r</w:t>
            </w:r>
            <w:r w:rsidRPr="00A574DC">
              <w:t xml:space="preserve">ecruitment processes and </w:t>
            </w:r>
            <w:r>
              <w:t>j</w:t>
            </w:r>
            <w:r w:rsidRPr="00A574DC">
              <w:t>ob postings</w:t>
            </w:r>
          </w:p>
        </w:tc>
        <w:tc>
          <w:tcPr>
            <w:tcW w:w="2612" w:type="dxa"/>
            <w:shd w:val="clear" w:color="auto" w:fill="auto"/>
          </w:tcPr>
          <w:p w14:paraId="2E6D85A8" w14:textId="77777777" w:rsidR="009043D5" w:rsidRPr="00BE704C" w:rsidRDefault="009043D5" w:rsidP="009043D5">
            <w:pPr>
              <w:pStyle w:val="ListParagraph"/>
              <w:numPr>
                <w:ilvl w:val="0"/>
                <w:numId w:val="1"/>
              </w:numPr>
              <w:spacing w:after="0" w:line="240" w:lineRule="auto"/>
              <w:ind w:left="231" w:hanging="256"/>
            </w:pPr>
            <w:r w:rsidRPr="00BE704C">
              <w:t>Supporting the hiring and technology needs of CBIPD, CTE programs, and ABS</w:t>
            </w:r>
          </w:p>
          <w:p w14:paraId="3AAD534D" w14:textId="77777777" w:rsidR="009043D5" w:rsidRPr="00BE704C" w:rsidRDefault="009043D5" w:rsidP="009043D5">
            <w:pPr>
              <w:pStyle w:val="ListParagraph"/>
              <w:numPr>
                <w:ilvl w:val="0"/>
                <w:numId w:val="1"/>
              </w:numPr>
              <w:spacing w:after="0" w:line="240" w:lineRule="auto"/>
              <w:ind w:left="231" w:hanging="256"/>
            </w:pPr>
            <w:r w:rsidRPr="00BE704C">
              <w:t>Diversity hiring, tracking, and reporting</w:t>
            </w:r>
          </w:p>
          <w:p w14:paraId="26617F93" w14:textId="77777777" w:rsidR="009043D5" w:rsidRPr="00BE704C" w:rsidRDefault="009043D5" w:rsidP="009043D5">
            <w:pPr>
              <w:pStyle w:val="ListParagraph"/>
              <w:numPr>
                <w:ilvl w:val="0"/>
                <w:numId w:val="1"/>
              </w:numPr>
              <w:spacing w:after="0" w:line="240" w:lineRule="auto"/>
              <w:ind w:left="231" w:hanging="256"/>
            </w:pPr>
            <w:r w:rsidRPr="00BE704C">
              <w:t>Assess and act on GCTWF survey results</w:t>
            </w:r>
          </w:p>
          <w:p w14:paraId="0567F2A3" w14:textId="77777777" w:rsidR="009043D5" w:rsidRPr="00BE704C" w:rsidRDefault="009043D5" w:rsidP="009043D5">
            <w:pPr>
              <w:pStyle w:val="ListParagraph"/>
              <w:numPr>
                <w:ilvl w:val="0"/>
                <w:numId w:val="1"/>
              </w:numPr>
              <w:spacing w:after="0" w:line="240" w:lineRule="auto"/>
              <w:ind w:left="231" w:hanging="256"/>
            </w:pPr>
            <w:r w:rsidRPr="00BE704C">
              <w:t>Increased (and new) training and development of employees and supervisors</w:t>
            </w:r>
          </w:p>
          <w:p w14:paraId="7FD40E95" w14:textId="77777777" w:rsidR="009043D5" w:rsidRPr="00BE704C" w:rsidRDefault="009043D5" w:rsidP="009043D5">
            <w:pPr>
              <w:pStyle w:val="ListParagraph"/>
              <w:numPr>
                <w:ilvl w:val="0"/>
                <w:numId w:val="1"/>
              </w:numPr>
              <w:spacing w:after="0" w:line="240" w:lineRule="auto"/>
              <w:ind w:left="231" w:hanging="256"/>
            </w:pPr>
            <w:r w:rsidRPr="00BE704C">
              <w:t>Enhancing employee onboarding/offboarding processes</w:t>
            </w:r>
          </w:p>
        </w:tc>
        <w:tc>
          <w:tcPr>
            <w:tcW w:w="2587" w:type="dxa"/>
            <w:shd w:val="clear" w:color="auto" w:fill="auto"/>
          </w:tcPr>
          <w:p w14:paraId="05407340" w14:textId="77777777" w:rsidR="009043D5" w:rsidRPr="00BE704C" w:rsidRDefault="009043D5" w:rsidP="009043D5">
            <w:pPr>
              <w:pStyle w:val="ListParagraph"/>
              <w:numPr>
                <w:ilvl w:val="0"/>
                <w:numId w:val="1"/>
              </w:numPr>
              <w:spacing w:after="0" w:line="240" w:lineRule="auto"/>
              <w:ind w:left="231" w:hanging="256"/>
            </w:pPr>
            <w:r w:rsidRPr="00BE704C">
              <w:t>New Hire workflows SysAid</w:t>
            </w:r>
          </w:p>
          <w:p w14:paraId="14922150" w14:textId="77777777" w:rsidR="009043D5" w:rsidRPr="00BE704C" w:rsidRDefault="009043D5" w:rsidP="009043D5">
            <w:pPr>
              <w:pStyle w:val="ListParagraph"/>
              <w:numPr>
                <w:ilvl w:val="0"/>
                <w:numId w:val="1"/>
              </w:numPr>
              <w:spacing w:after="0" w:line="240" w:lineRule="auto"/>
              <w:ind w:left="231" w:hanging="256"/>
            </w:pPr>
            <w:r w:rsidRPr="00BE704C">
              <w:t>HR Web Redesign</w:t>
            </w:r>
          </w:p>
          <w:p w14:paraId="4514C358" w14:textId="77777777" w:rsidR="009043D5" w:rsidRPr="00BE704C" w:rsidRDefault="009043D5" w:rsidP="009043D5">
            <w:pPr>
              <w:pStyle w:val="ListParagraph"/>
              <w:numPr>
                <w:ilvl w:val="0"/>
                <w:numId w:val="1"/>
              </w:numPr>
              <w:spacing w:after="0" w:line="240" w:lineRule="auto"/>
              <w:ind w:left="231" w:hanging="256"/>
            </w:pPr>
            <w:r w:rsidRPr="00BE704C">
              <w:t>Cloud Hosting (</w:t>
            </w:r>
            <w:proofErr w:type="spellStart"/>
            <w:r w:rsidRPr="00BE704C">
              <w:t>Tharseo</w:t>
            </w:r>
            <w:proofErr w:type="spellEnd"/>
            <w:r w:rsidRPr="00BE704C">
              <w:t>)</w:t>
            </w:r>
          </w:p>
          <w:p w14:paraId="4896D32C" w14:textId="77777777" w:rsidR="009043D5" w:rsidRPr="00BE704C" w:rsidRDefault="009043D5" w:rsidP="009043D5">
            <w:pPr>
              <w:pStyle w:val="ListParagraph"/>
              <w:numPr>
                <w:ilvl w:val="0"/>
                <w:numId w:val="1"/>
              </w:numPr>
              <w:spacing w:after="0" w:line="240" w:lineRule="auto"/>
              <w:ind w:left="231" w:hanging="256"/>
            </w:pPr>
            <w:r w:rsidRPr="00BE704C">
              <w:t xml:space="preserve">Increased investment in </w:t>
            </w:r>
            <w:proofErr w:type="spellStart"/>
            <w:r w:rsidRPr="00BE704C">
              <w:t>CyberSecurity</w:t>
            </w:r>
            <w:proofErr w:type="spellEnd"/>
            <w:r w:rsidRPr="00BE704C">
              <w:t xml:space="preserve"> and IT infrastructure</w:t>
            </w:r>
          </w:p>
          <w:p w14:paraId="5D300E68" w14:textId="77777777" w:rsidR="009043D5" w:rsidRPr="00BE704C" w:rsidRDefault="009043D5" w:rsidP="009043D5">
            <w:pPr>
              <w:pStyle w:val="ListParagraph"/>
              <w:numPr>
                <w:ilvl w:val="0"/>
                <w:numId w:val="1"/>
              </w:numPr>
              <w:spacing w:after="0" w:line="240" w:lineRule="auto"/>
              <w:ind w:left="231" w:hanging="256"/>
            </w:pPr>
            <w:r w:rsidRPr="00BE704C">
              <w:t>Data Lake/Warehouse</w:t>
            </w:r>
          </w:p>
          <w:p w14:paraId="17A59A4E" w14:textId="77777777" w:rsidR="009043D5" w:rsidRPr="00BE704C" w:rsidRDefault="009043D5" w:rsidP="009043D5">
            <w:pPr>
              <w:pStyle w:val="ListParagraph"/>
              <w:numPr>
                <w:ilvl w:val="0"/>
                <w:numId w:val="1"/>
              </w:numPr>
              <w:spacing w:after="0" w:line="240" w:lineRule="auto"/>
              <w:ind w:left="231" w:hanging="256"/>
            </w:pPr>
            <w:r w:rsidRPr="00BE704C">
              <w:t xml:space="preserve">MS </w:t>
            </w:r>
            <w:proofErr w:type="spellStart"/>
            <w:r w:rsidRPr="00BE704C">
              <w:t>Sharepoint</w:t>
            </w:r>
            <w:proofErr w:type="spellEnd"/>
            <w:r w:rsidRPr="00BE704C">
              <w:t xml:space="preserve"> Assessment</w:t>
            </w:r>
          </w:p>
          <w:p w14:paraId="471D52BD" w14:textId="77777777" w:rsidR="009043D5" w:rsidRPr="00BE704C" w:rsidRDefault="009043D5" w:rsidP="009043D5">
            <w:pPr>
              <w:pStyle w:val="ListParagraph"/>
              <w:numPr>
                <w:ilvl w:val="0"/>
                <w:numId w:val="1"/>
              </w:numPr>
              <w:spacing w:after="0" w:line="240" w:lineRule="auto"/>
              <w:ind w:left="231" w:hanging="256"/>
            </w:pPr>
            <w:r w:rsidRPr="00BE704C">
              <w:t>Adobe Sign expansion</w:t>
            </w:r>
          </w:p>
          <w:p w14:paraId="4AFC0389" w14:textId="77777777" w:rsidR="009043D5" w:rsidRPr="00BE704C" w:rsidRDefault="009043D5" w:rsidP="009043D5">
            <w:pPr>
              <w:pStyle w:val="ListParagraph"/>
              <w:numPr>
                <w:ilvl w:val="0"/>
                <w:numId w:val="1"/>
              </w:numPr>
              <w:spacing w:after="0" w:line="240" w:lineRule="auto"/>
              <w:ind w:left="231" w:hanging="256"/>
            </w:pPr>
            <w:r w:rsidRPr="00BE704C">
              <w:t>Assess and act on employee retention/turnover metrics</w:t>
            </w:r>
          </w:p>
          <w:p w14:paraId="412087AB" w14:textId="77777777" w:rsidR="009043D5" w:rsidRPr="00BE704C" w:rsidRDefault="009043D5" w:rsidP="009043D5">
            <w:pPr>
              <w:spacing w:after="0"/>
              <w:ind w:left="231" w:hanging="256"/>
            </w:pPr>
          </w:p>
        </w:tc>
      </w:tr>
    </w:tbl>
    <w:p w14:paraId="1646CC01" w14:textId="77777777" w:rsidR="00CF3087" w:rsidRDefault="00CF3087" w:rsidP="009043D5">
      <w:pPr>
        <w:spacing w:after="0"/>
      </w:pPr>
    </w:p>
    <w:sectPr w:rsidR="00CF3087" w:rsidSect="009043D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021E7A"/>
    <w:multiLevelType w:val="hybridMultilevel"/>
    <w:tmpl w:val="D5720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3D5"/>
    <w:rsid w:val="009043D5"/>
    <w:rsid w:val="00CF30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2A42E"/>
  <w15:chartTrackingRefBased/>
  <w15:docId w15:val="{5551AD30-909B-4226-98F8-85723706F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3D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04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43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1512</Characters>
  <Application>Microsoft Office Word</Application>
  <DocSecurity>0</DocSecurity>
  <Lines>12</Lines>
  <Paragraphs>3</Paragraphs>
  <ScaleCrop>false</ScaleCrop>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Moore</dc:creator>
  <cp:keywords/>
  <dc:description/>
  <cp:lastModifiedBy>Alicia Moore</cp:lastModifiedBy>
  <cp:revision>1</cp:revision>
  <dcterms:created xsi:type="dcterms:W3CDTF">2025-07-02T16:16:00Z</dcterms:created>
  <dcterms:modified xsi:type="dcterms:W3CDTF">2025-07-02T16:20:00Z</dcterms:modified>
</cp:coreProperties>
</file>