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770BC1" w14:paraId="56D92D0B" w14:textId="77777777" w:rsidTr="003C1A66">
        <w:trPr>
          <w:trHeight w:val="694"/>
        </w:trPr>
        <w:tc>
          <w:tcPr>
            <w:tcW w:w="12950" w:type="dxa"/>
            <w:gridSpan w:val="5"/>
            <w:shd w:val="clear" w:color="auto" w:fill="D9E2F3" w:themeFill="accent1" w:themeFillTint="33"/>
          </w:tcPr>
          <w:p w14:paraId="4145E7A2" w14:textId="77777777" w:rsidR="00770BC1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Finance and Operations Division Plan:  2024+</w:t>
            </w:r>
          </w:p>
          <w:p w14:paraId="1E20916C" w14:textId="77777777" w:rsidR="00770BC1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24B092AA" w14:textId="3D2B3228" w:rsidR="00770BC1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73790">
              <w:rPr>
                <w:b/>
                <w:bCs/>
                <w:sz w:val="28"/>
                <w:szCs w:val="28"/>
              </w:rPr>
              <w:t xml:space="preserve">The Finance and Operations office maintains facilities that provide safe, functional, and technologically equipped learning environments and provides resources, customer service, and support to the College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E73790">
              <w:rPr>
                <w:b/>
                <w:bCs/>
                <w:sz w:val="28"/>
                <w:szCs w:val="28"/>
              </w:rPr>
              <w:t>ommunity to empower students through high-quality, equitable, and accessible lifelong education.</w:t>
            </w:r>
          </w:p>
          <w:p w14:paraId="08A25666" w14:textId="6277B03A" w:rsidR="00770BC1" w:rsidRPr="00420188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0BC1" w14:paraId="308F7556" w14:textId="77777777" w:rsidTr="003C1A66">
        <w:tc>
          <w:tcPr>
            <w:tcW w:w="12950" w:type="dxa"/>
            <w:gridSpan w:val="5"/>
            <w:shd w:val="clear" w:color="auto" w:fill="D9E2F3" w:themeFill="accent1" w:themeFillTint="33"/>
          </w:tcPr>
          <w:p w14:paraId="64A1DC5B" w14:textId="77777777" w:rsidR="00770BC1" w:rsidRPr="00420188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COCC </w:t>
            </w:r>
            <w:r w:rsidRPr="00420188">
              <w:rPr>
                <w:b/>
                <w:bCs/>
                <w:sz w:val="28"/>
                <w:szCs w:val="28"/>
              </w:rPr>
              <w:t>Strategic Goals</w:t>
            </w:r>
            <w:r>
              <w:rPr>
                <w:b/>
                <w:bCs/>
                <w:sz w:val="28"/>
                <w:szCs w:val="28"/>
              </w:rPr>
              <w:t xml:space="preserve"> and Supporting Academic Affairs Projects</w:t>
            </w:r>
          </w:p>
        </w:tc>
      </w:tr>
      <w:tr w:rsidR="00770BC1" w14:paraId="0601C05A" w14:textId="77777777" w:rsidTr="003C1A66">
        <w:tc>
          <w:tcPr>
            <w:tcW w:w="2590" w:type="dxa"/>
            <w:shd w:val="clear" w:color="auto" w:fill="FBE4D5" w:themeFill="accent2" w:themeFillTint="33"/>
          </w:tcPr>
          <w:p w14:paraId="0A953BC3" w14:textId="77777777" w:rsidR="00770BC1" w:rsidRPr="00420188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Student-Ready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1A226150" w14:textId="77777777" w:rsidR="00770BC1" w:rsidRPr="00420188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Access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33FBF9C1" w14:textId="77777777" w:rsidR="00770BC1" w:rsidRPr="00420188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Community Engagement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64A923B9" w14:textId="77777777" w:rsidR="00770BC1" w:rsidRPr="00420188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Workforce Development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47CC5C67" w14:textId="77777777" w:rsidR="00770BC1" w:rsidRPr="00420188" w:rsidRDefault="00770BC1" w:rsidP="00770B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College Sustainability</w:t>
            </w:r>
          </w:p>
        </w:tc>
      </w:tr>
      <w:tr w:rsidR="00770BC1" w:rsidRPr="00755C0D" w14:paraId="108C728E" w14:textId="77777777" w:rsidTr="003C1A66">
        <w:tc>
          <w:tcPr>
            <w:tcW w:w="2590" w:type="dxa"/>
            <w:shd w:val="clear" w:color="auto" w:fill="auto"/>
          </w:tcPr>
          <w:p w14:paraId="0C3CE383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rFonts w:cstheme="minorHAnsi"/>
                <w:color w:val="000000"/>
                <w:sz w:val="24"/>
                <w:szCs w:val="24"/>
              </w:rPr>
              <w:t>Veterans Lounge/Resource Center</w:t>
            </w:r>
          </w:p>
        </w:tc>
        <w:tc>
          <w:tcPr>
            <w:tcW w:w="2590" w:type="dxa"/>
            <w:shd w:val="clear" w:color="auto" w:fill="auto"/>
          </w:tcPr>
          <w:p w14:paraId="16F0CF84" w14:textId="77777777" w:rsidR="00770BC1" w:rsidRPr="00083876" w:rsidRDefault="00770BC1" w:rsidP="00770BC1">
            <w:pPr>
              <w:tabs>
                <w:tab w:val="left" w:pos="465"/>
              </w:tabs>
              <w:spacing w:after="0"/>
              <w:jc w:val="center"/>
              <w:rPr>
                <w:sz w:val="24"/>
                <w:szCs w:val="24"/>
              </w:rPr>
            </w:pPr>
            <w:r w:rsidRPr="00E73790">
              <w:rPr>
                <w:sz w:val="24"/>
                <w:szCs w:val="24"/>
              </w:rPr>
              <w:t>Affordable Tuition and Fees</w:t>
            </w:r>
          </w:p>
        </w:tc>
        <w:tc>
          <w:tcPr>
            <w:tcW w:w="2590" w:type="dxa"/>
            <w:shd w:val="clear" w:color="auto" w:fill="auto"/>
          </w:tcPr>
          <w:p w14:paraId="2F55B3E6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 Golf Course</w:t>
            </w:r>
          </w:p>
        </w:tc>
        <w:tc>
          <w:tcPr>
            <w:tcW w:w="2590" w:type="dxa"/>
            <w:shd w:val="clear" w:color="auto" w:fill="auto"/>
          </w:tcPr>
          <w:p w14:paraId="05E35A32" w14:textId="77777777" w:rsidR="00770BC1" w:rsidRPr="00083876" w:rsidRDefault="00770BC1" w:rsidP="00770BC1">
            <w:pPr>
              <w:tabs>
                <w:tab w:val="left" w:pos="690"/>
              </w:tabs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Madras Expansion</w:t>
            </w:r>
          </w:p>
        </w:tc>
        <w:tc>
          <w:tcPr>
            <w:tcW w:w="2590" w:type="dxa"/>
            <w:shd w:val="clear" w:color="auto" w:fill="auto"/>
          </w:tcPr>
          <w:p w14:paraId="7E07E942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Facilities Master Plan</w:t>
            </w:r>
          </w:p>
        </w:tc>
      </w:tr>
      <w:tr w:rsidR="00770BC1" w:rsidRPr="00755C0D" w14:paraId="7BD36212" w14:textId="77777777" w:rsidTr="003C1A66">
        <w:tc>
          <w:tcPr>
            <w:tcW w:w="2590" w:type="dxa"/>
            <w:shd w:val="clear" w:color="auto" w:fill="auto"/>
          </w:tcPr>
          <w:p w14:paraId="77136283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3DB72CE2" w14:textId="77777777" w:rsidR="00770BC1" w:rsidRPr="00083876" w:rsidRDefault="00770BC1" w:rsidP="00770BC1">
            <w:pPr>
              <w:tabs>
                <w:tab w:val="left" w:pos="465"/>
              </w:tabs>
              <w:spacing w:after="0"/>
              <w:jc w:val="center"/>
              <w:rPr>
                <w:sz w:val="24"/>
                <w:szCs w:val="24"/>
              </w:rPr>
            </w:pPr>
            <w:r w:rsidRPr="00E73790">
              <w:rPr>
                <w:sz w:val="24"/>
                <w:szCs w:val="24"/>
              </w:rPr>
              <w:t>Implement</w:t>
            </w:r>
            <w:r>
              <w:rPr>
                <w:sz w:val="24"/>
                <w:szCs w:val="24"/>
              </w:rPr>
              <w:t xml:space="preserve"> a</w:t>
            </w:r>
            <w:r w:rsidRPr="00083876">
              <w:rPr>
                <w:sz w:val="24"/>
                <w:szCs w:val="24"/>
              </w:rPr>
              <w:t>ffordable book options</w:t>
            </w:r>
          </w:p>
        </w:tc>
        <w:tc>
          <w:tcPr>
            <w:tcW w:w="2590" w:type="dxa"/>
            <w:shd w:val="clear" w:color="auto" w:fill="auto"/>
          </w:tcPr>
          <w:p w14:paraId="3741A628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6C900E04" w14:textId="77777777" w:rsidR="00770BC1" w:rsidRPr="00083876" w:rsidRDefault="00770BC1" w:rsidP="00770BC1">
            <w:pPr>
              <w:tabs>
                <w:tab w:val="left" w:pos="690"/>
              </w:tabs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MATC Expansion</w:t>
            </w:r>
          </w:p>
        </w:tc>
        <w:tc>
          <w:tcPr>
            <w:tcW w:w="2590" w:type="dxa"/>
            <w:shd w:val="clear" w:color="auto" w:fill="auto"/>
          </w:tcPr>
          <w:p w14:paraId="6D76A636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Climate Action Plan</w:t>
            </w:r>
          </w:p>
        </w:tc>
      </w:tr>
      <w:tr w:rsidR="00770BC1" w:rsidRPr="00755C0D" w14:paraId="0C927C83" w14:textId="77777777" w:rsidTr="003C1A66">
        <w:tc>
          <w:tcPr>
            <w:tcW w:w="2590" w:type="dxa"/>
            <w:shd w:val="clear" w:color="auto" w:fill="auto"/>
          </w:tcPr>
          <w:p w14:paraId="77664180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28EBBA2C" w14:textId="77777777" w:rsidR="00770BC1" w:rsidRPr="00083876" w:rsidRDefault="00770BC1" w:rsidP="00770BC1">
            <w:pPr>
              <w:tabs>
                <w:tab w:val="left" w:pos="465"/>
              </w:tabs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Affordable Housing and Childcare Research</w:t>
            </w:r>
          </w:p>
        </w:tc>
        <w:tc>
          <w:tcPr>
            <w:tcW w:w="2590" w:type="dxa"/>
            <w:shd w:val="clear" w:color="auto" w:fill="auto"/>
          </w:tcPr>
          <w:p w14:paraId="7651E866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3F4D76A8" w14:textId="77777777" w:rsidR="00770BC1" w:rsidRPr="00083876" w:rsidRDefault="00770BC1" w:rsidP="00770BC1">
            <w:pPr>
              <w:tabs>
                <w:tab w:val="left" w:pos="69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19CDF090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Business Process Upgrades</w:t>
            </w:r>
          </w:p>
        </w:tc>
      </w:tr>
      <w:tr w:rsidR="00770BC1" w:rsidRPr="00755C0D" w14:paraId="658224B3" w14:textId="77777777" w:rsidTr="003C1A66">
        <w:tc>
          <w:tcPr>
            <w:tcW w:w="2590" w:type="dxa"/>
            <w:shd w:val="clear" w:color="auto" w:fill="auto"/>
          </w:tcPr>
          <w:p w14:paraId="6ABF69E8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4C4ECB96" w14:textId="77777777" w:rsidR="00770BC1" w:rsidRPr="00083876" w:rsidRDefault="00770BC1" w:rsidP="00770BC1">
            <w:pPr>
              <w:tabs>
                <w:tab w:val="left" w:pos="4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Barrier Removal</w:t>
            </w:r>
          </w:p>
        </w:tc>
        <w:tc>
          <w:tcPr>
            <w:tcW w:w="2590" w:type="dxa"/>
            <w:shd w:val="clear" w:color="auto" w:fill="auto"/>
          </w:tcPr>
          <w:p w14:paraId="05E51F53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41EF60DC" w14:textId="77777777" w:rsidR="00770BC1" w:rsidRPr="00083876" w:rsidRDefault="00770BC1" w:rsidP="00770BC1">
            <w:pPr>
              <w:tabs>
                <w:tab w:val="left" w:pos="69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1763AA1F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Administrative Assistant Training</w:t>
            </w:r>
          </w:p>
        </w:tc>
      </w:tr>
      <w:tr w:rsidR="00770BC1" w:rsidRPr="00755C0D" w14:paraId="3D3A093F" w14:textId="77777777" w:rsidTr="003C1A66">
        <w:tc>
          <w:tcPr>
            <w:tcW w:w="2590" w:type="dxa"/>
            <w:shd w:val="clear" w:color="auto" w:fill="auto"/>
          </w:tcPr>
          <w:p w14:paraId="4CC6E522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055117BB" w14:textId="77777777" w:rsidR="00770BC1" w:rsidRPr="00083876" w:rsidRDefault="00770BC1" w:rsidP="00770BC1">
            <w:pPr>
              <w:tabs>
                <w:tab w:val="left" w:pos="46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13081443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37FE1213" w14:textId="77777777" w:rsidR="00770BC1" w:rsidRPr="00083876" w:rsidRDefault="00770BC1" w:rsidP="00770BC1">
            <w:pPr>
              <w:tabs>
                <w:tab w:val="left" w:pos="69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29084489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Building Manager Training</w:t>
            </w:r>
          </w:p>
        </w:tc>
      </w:tr>
      <w:tr w:rsidR="00770BC1" w:rsidRPr="00755C0D" w14:paraId="0DBA0AFF" w14:textId="77777777" w:rsidTr="003C1A66">
        <w:tc>
          <w:tcPr>
            <w:tcW w:w="2590" w:type="dxa"/>
            <w:shd w:val="clear" w:color="auto" w:fill="auto"/>
          </w:tcPr>
          <w:p w14:paraId="768188AE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62657066" w14:textId="77777777" w:rsidR="00770BC1" w:rsidRPr="00083876" w:rsidRDefault="00770BC1" w:rsidP="00770BC1">
            <w:pPr>
              <w:tabs>
                <w:tab w:val="left" w:pos="46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6895D630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5746E72C" w14:textId="77777777" w:rsidR="00770BC1" w:rsidRPr="00083876" w:rsidRDefault="00770BC1" w:rsidP="00770BC1">
            <w:pPr>
              <w:tabs>
                <w:tab w:val="left" w:pos="69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561F66DD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 w:rsidRPr="00083876">
              <w:rPr>
                <w:sz w:val="24"/>
                <w:szCs w:val="24"/>
              </w:rPr>
              <w:t>Update Spending Policy</w:t>
            </w:r>
          </w:p>
        </w:tc>
      </w:tr>
      <w:tr w:rsidR="00770BC1" w:rsidRPr="00755C0D" w14:paraId="16DC6B6A" w14:textId="77777777" w:rsidTr="003C1A66">
        <w:tc>
          <w:tcPr>
            <w:tcW w:w="2590" w:type="dxa"/>
            <w:shd w:val="clear" w:color="auto" w:fill="auto"/>
          </w:tcPr>
          <w:p w14:paraId="3544A2E4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2529DEE5" w14:textId="77777777" w:rsidR="00770BC1" w:rsidRPr="00083876" w:rsidRDefault="00770BC1" w:rsidP="00770BC1">
            <w:pPr>
              <w:tabs>
                <w:tab w:val="left" w:pos="46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5258B767" w14:textId="77777777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3080DDCF" w14:textId="77777777" w:rsidR="00770BC1" w:rsidRPr="00083876" w:rsidRDefault="00770BC1" w:rsidP="00770BC1">
            <w:pPr>
              <w:tabs>
                <w:tab w:val="left" w:pos="69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5ACA1D8C" w14:textId="6BC53D33" w:rsidR="00770BC1" w:rsidRPr="00083876" w:rsidRDefault="00770BC1" w:rsidP="00770BC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Manager Training and Quarterly Meeting</w:t>
            </w:r>
            <w:r>
              <w:rPr>
                <w:sz w:val="24"/>
                <w:szCs w:val="24"/>
              </w:rPr>
              <w:t>s</w:t>
            </w:r>
          </w:p>
        </w:tc>
      </w:tr>
    </w:tbl>
    <w:p w14:paraId="50F23995" w14:textId="77777777" w:rsidR="00CF3087" w:rsidRDefault="00CF3087" w:rsidP="00770BC1"/>
    <w:sectPr w:rsidR="00CF3087" w:rsidSect="00770B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C1"/>
    <w:rsid w:val="00770BC1"/>
    <w:rsid w:val="00C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EA51"/>
  <w15:chartTrackingRefBased/>
  <w15:docId w15:val="{5116452F-C3BA-4E13-B579-894F8AF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Moore</dc:creator>
  <cp:keywords/>
  <dc:description/>
  <cp:lastModifiedBy>Alicia Moore</cp:lastModifiedBy>
  <cp:revision>1</cp:revision>
  <dcterms:created xsi:type="dcterms:W3CDTF">2025-07-02T16:16:00Z</dcterms:created>
  <dcterms:modified xsi:type="dcterms:W3CDTF">2025-07-02T16:18:00Z</dcterms:modified>
</cp:coreProperties>
</file>