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6143" w14:textId="32F9EF39" w:rsidR="00940E20" w:rsidRPr="00850BEA" w:rsidRDefault="008A4B4A" w:rsidP="004126B9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84246668"/>
      <w:r w:rsidRPr="00850BEA">
        <w:rPr>
          <w:rFonts w:asciiTheme="majorHAnsi" w:hAnsiTheme="majorHAnsi" w:cstheme="majorHAnsi"/>
          <w:b/>
          <w:sz w:val="24"/>
          <w:szCs w:val="24"/>
        </w:rPr>
        <w:t xml:space="preserve">COCC </w:t>
      </w:r>
      <w:r w:rsidR="00940E20" w:rsidRPr="00850BEA">
        <w:rPr>
          <w:rFonts w:asciiTheme="majorHAnsi" w:hAnsiTheme="majorHAnsi" w:cstheme="majorHAnsi"/>
          <w:b/>
          <w:sz w:val="24"/>
          <w:szCs w:val="24"/>
        </w:rPr>
        <w:t>Diversity Plan Goals, Learning Outcomes, Strategies, and Measurement Tools</w:t>
      </w:r>
    </w:p>
    <w:p w14:paraId="12D2368D" w14:textId="2583807D" w:rsidR="008A7F6C" w:rsidRPr="00850BEA" w:rsidRDefault="008A7F6C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0E4F6E7" w14:textId="4859AE46" w:rsidR="008A7F6C" w:rsidRPr="00850BEA" w:rsidRDefault="008A4B4A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50BEA">
        <w:rPr>
          <w:rFonts w:asciiTheme="majorHAnsi" w:hAnsiTheme="majorHAnsi" w:cstheme="majorHAnsi"/>
          <w:sz w:val="24"/>
          <w:szCs w:val="24"/>
        </w:rPr>
        <w:t>Central Oregon Community College</w:t>
      </w:r>
      <w:r w:rsidR="008A7F6C" w:rsidRPr="00850BEA">
        <w:rPr>
          <w:rFonts w:asciiTheme="majorHAnsi" w:hAnsiTheme="majorHAnsi" w:cstheme="majorHAnsi"/>
          <w:sz w:val="24"/>
          <w:szCs w:val="24"/>
        </w:rPr>
        <w:t xml:space="preserve"> </w:t>
      </w:r>
      <w:r w:rsidR="00850BEA" w:rsidRPr="00850BEA">
        <w:rPr>
          <w:rFonts w:asciiTheme="majorHAnsi" w:hAnsiTheme="majorHAnsi" w:cstheme="majorHAnsi"/>
          <w:sz w:val="24"/>
          <w:szCs w:val="24"/>
        </w:rPr>
        <w:t xml:space="preserve">(COCC) </w:t>
      </w:r>
      <w:r w:rsidR="008A7F6C" w:rsidRPr="00850BEA">
        <w:rPr>
          <w:rFonts w:asciiTheme="majorHAnsi" w:hAnsiTheme="majorHAnsi" w:cstheme="majorHAnsi"/>
          <w:sz w:val="24"/>
          <w:szCs w:val="24"/>
        </w:rPr>
        <w:t xml:space="preserve">believes that creating a respectful and inclusive environment requires the thoughtful and intentional efforts of everyone </w:t>
      </w:r>
      <w:r w:rsidR="00D001B0" w:rsidRPr="00850BEA">
        <w:rPr>
          <w:rFonts w:asciiTheme="majorHAnsi" w:hAnsiTheme="majorHAnsi" w:cstheme="majorHAnsi"/>
          <w:sz w:val="24"/>
          <w:szCs w:val="24"/>
        </w:rPr>
        <w:t>at the College</w:t>
      </w:r>
      <w:r w:rsidR="008A7F6C" w:rsidRPr="00850BEA">
        <w:rPr>
          <w:rFonts w:asciiTheme="majorHAnsi" w:hAnsiTheme="majorHAnsi" w:cstheme="majorHAnsi"/>
          <w:sz w:val="24"/>
          <w:szCs w:val="24"/>
        </w:rPr>
        <w:t>, including all COCC employees and students. The Diversity Committee, along with the Office of Diversity and Inclusion</w:t>
      </w:r>
      <w:r w:rsidR="00850BEA" w:rsidRPr="00850BEA">
        <w:rPr>
          <w:rFonts w:asciiTheme="majorHAnsi" w:hAnsiTheme="majorHAnsi" w:cstheme="majorHAnsi"/>
          <w:sz w:val="24"/>
          <w:szCs w:val="24"/>
        </w:rPr>
        <w:t xml:space="preserve"> (ODI)</w:t>
      </w:r>
      <w:r w:rsidR="008A7F6C" w:rsidRPr="00850BEA">
        <w:rPr>
          <w:rFonts w:asciiTheme="majorHAnsi" w:hAnsiTheme="majorHAnsi" w:cstheme="majorHAnsi"/>
          <w:sz w:val="24"/>
          <w:szCs w:val="24"/>
        </w:rPr>
        <w:t xml:space="preserve">, serve as important resources to assist with implementing this plan and addressing concerns or questions that arise. As the </w:t>
      </w:r>
      <w:r w:rsidRPr="00850BEA">
        <w:rPr>
          <w:rFonts w:asciiTheme="majorHAnsi" w:hAnsiTheme="majorHAnsi" w:cstheme="majorHAnsi"/>
          <w:sz w:val="24"/>
          <w:szCs w:val="24"/>
        </w:rPr>
        <w:t>College</w:t>
      </w:r>
      <w:r w:rsidR="008A7F6C" w:rsidRPr="00850BEA">
        <w:rPr>
          <w:rFonts w:asciiTheme="majorHAnsi" w:hAnsiTheme="majorHAnsi" w:cstheme="majorHAnsi"/>
          <w:sz w:val="24"/>
          <w:szCs w:val="24"/>
        </w:rPr>
        <w:t xml:space="preserve"> strive</w:t>
      </w:r>
      <w:r w:rsidRPr="00850BEA">
        <w:rPr>
          <w:rFonts w:asciiTheme="majorHAnsi" w:hAnsiTheme="majorHAnsi" w:cstheme="majorHAnsi"/>
          <w:sz w:val="24"/>
          <w:szCs w:val="24"/>
        </w:rPr>
        <w:t xml:space="preserve">s </w:t>
      </w:r>
      <w:r w:rsidR="008A7F6C" w:rsidRPr="00850BEA">
        <w:rPr>
          <w:rFonts w:asciiTheme="majorHAnsi" w:hAnsiTheme="majorHAnsi" w:cstheme="majorHAnsi"/>
          <w:sz w:val="24"/>
          <w:szCs w:val="24"/>
        </w:rPr>
        <w:t>to foster a safe, inclusive, and just community, everyone will benefit.</w:t>
      </w:r>
      <w:r w:rsidRPr="00850BEA">
        <w:rPr>
          <w:rFonts w:asciiTheme="majorHAnsi" w:hAnsiTheme="majorHAnsi" w:cstheme="majorHAnsi"/>
          <w:sz w:val="24"/>
          <w:szCs w:val="24"/>
        </w:rPr>
        <w:t xml:space="preserve"> Therefore, </w:t>
      </w:r>
      <w:r w:rsidR="004816B4">
        <w:rPr>
          <w:rFonts w:asciiTheme="majorHAnsi" w:hAnsiTheme="majorHAnsi" w:cstheme="majorHAnsi"/>
          <w:sz w:val="24"/>
          <w:szCs w:val="24"/>
        </w:rPr>
        <w:t>all Bobcats,</w:t>
      </w:r>
      <w:r w:rsidRPr="00850BEA">
        <w:rPr>
          <w:rFonts w:asciiTheme="majorHAnsi" w:hAnsiTheme="majorHAnsi" w:cstheme="majorHAnsi"/>
          <w:sz w:val="24"/>
          <w:szCs w:val="24"/>
        </w:rPr>
        <w:t xml:space="preserve"> have special responsibility for ensuring that respect for diversity is embedded and practiced in the core activities of their </w:t>
      </w:r>
      <w:r w:rsidR="004816B4">
        <w:rPr>
          <w:rFonts w:asciiTheme="majorHAnsi" w:hAnsiTheme="majorHAnsi" w:cstheme="majorHAnsi"/>
          <w:sz w:val="24"/>
          <w:szCs w:val="24"/>
        </w:rPr>
        <w:t>departments*</w:t>
      </w:r>
      <w:r w:rsidRPr="00850BEA">
        <w:rPr>
          <w:rFonts w:asciiTheme="majorHAnsi" w:hAnsiTheme="majorHAnsi" w:cstheme="majorHAnsi"/>
          <w:sz w:val="24"/>
          <w:szCs w:val="24"/>
        </w:rPr>
        <w:t>. As such, the following serves as the COCC Diversity, Equity and Inclusion plan.</w:t>
      </w:r>
    </w:p>
    <w:p w14:paraId="38C5C3C3" w14:textId="0BCB4EEA" w:rsidR="00850BEA" w:rsidRDefault="00850BEA" w:rsidP="00850BEA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  <w:r w:rsidRPr="00850BEA">
        <w:rPr>
          <w:rFonts w:asciiTheme="majorHAnsi" w:hAnsiTheme="majorHAnsi" w:cstheme="majorHAnsi"/>
          <w:b/>
          <w:sz w:val="24"/>
          <w:szCs w:val="24"/>
        </w:rPr>
        <w:t>Diversity Committee Mission:</w:t>
      </w:r>
      <w:r w:rsidRPr="00850BEA">
        <w:rPr>
          <w:rFonts w:asciiTheme="majorHAnsi" w:hAnsiTheme="majorHAnsi" w:cstheme="majorHAnsi"/>
          <w:sz w:val="24"/>
          <w:szCs w:val="24"/>
        </w:rPr>
        <w:t xml:space="preserve"> The College’s Diversity Committee provides leadership for the College to create a welcoming and respectful climate for diverse cultures, backgrounds, and ideas in order to nurture a vibrant, inclusive, and engaged learning community.</w:t>
      </w:r>
    </w:p>
    <w:p w14:paraId="119F18FD" w14:textId="1F8E5B4F" w:rsidR="004816B4" w:rsidRDefault="004816B4" w:rsidP="00850BE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3519E6C" w14:textId="4006C98B" w:rsidR="004816B4" w:rsidRPr="00850BEA" w:rsidRDefault="004816B4" w:rsidP="00850BEA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*For continuity and conciseness, the term department will also represent disciplines. </w:t>
      </w:r>
    </w:p>
    <w:tbl>
      <w:tblPr>
        <w:tblStyle w:val="TableGrid1"/>
        <w:tblpPr w:leftFromText="180" w:rightFromText="180" w:vertAnchor="text" w:horzAnchor="margin" w:tblpY="477"/>
        <w:tblW w:w="12685" w:type="dxa"/>
        <w:tblLook w:val="04A0" w:firstRow="1" w:lastRow="0" w:firstColumn="1" w:lastColumn="0" w:noHBand="0" w:noVBand="1"/>
      </w:tblPr>
      <w:tblGrid>
        <w:gridCol w:w="2425"/>
        <w:gridCol w:w="3150"/>
        <w:gridCol w:w="4140"/>
        <w:gridCol w:w="2970"/>
      </w:tblGrid>
      <w:tr w:rsidR="00850BEA" w:rsidRPr="00850BEA" w14:paraId="7485EFBF" w14:textId="77777777" w:rsidTr="004816B4">
        <w:trPr>
          <w:trHeight w:val="440"/>
        </w:trPr>
        <w:tc>
          <w:tcPr>
            <w:tcW w:w="12685" w:type="dxa"/>
            <w:gridSpan w:val="4"/>
          </w:tcPr>
          <w:p w14:paraId="3D8A0F9E" w14:textId="41D56982" w:rsidR="00850BEA" w:rsidRPr="00850BEA" w:rsidRDefault="00850BEA" w:rsidP="004816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b/>
                <w:sz w:val="24"/>
                <w:szCs w:val="24"/>
              </w:rPr>
              <w:t>Goal #1 College Mission and Goals</w:t>
            </w:r>
          </w:p>
        </w:tc>
      </w:tr>
      <w:tr w:rsidR="00850BEA" w:rsidRPr="00850BEA" w14:paraId="224B74FC" w14:textId="77777777" w:rsidTr="00780248">
        <w:tc>
          <w:tcPr>
            <w:tcW w:w="2425" w:type="dxa"/>
          </w:tcPr>
          <w:p w14:paraId="514B59F0" w14:textId="77777777" w:rsidR="00850BEA" w:rsidRPr="00850BEA" w:rsidRDefault="00850BEA" w:rsidP="00850BEA">
            <w:pPr>
              <w:ind w:left="720" w:hanging="750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Goal:</w:t>
            </w:r>
          </w:p>
        </w:tc>
        <w:tc>
          <w:tcPr>
            <w:tcW w:w="3150" w:type="dxa"/>
          </w:tcPr>
          <w:p w14:paraId="52C62739" w14:textId="77777777" w:rsidR="00850BEA" w:rsidRPr="00850BEA" w:rsidRDefault="00850BEA" w:rsidP="00850BEA">
            <w:pPr>
              <w:ind w:left="720" w:hanging="750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Outcomes:</w:t>
            </w:r>
          </w:p>
        </w:tc>
        <w:tc>
          <w:tcPr>
            <w:tcW w:w="4140" w:type="dxa"/>
          </w:tcPr>
          <w:p w14:paraId="16DBAA26" w14:textId="77777777" w:rsidR="00850BEA" w:rsidRPr="00850BEA" w:rsidRDefault="00850BEA" w:rsidP="00850BEA">
            <w:pPr>
              <w:ind w:left="720" w:hanging="750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Strategies:</w:t>
            </w:r>
          </w:p>
        </w:tc>
        <w:tc>
          <w:tcPr>
            <w:tcW w:w="2970" w:type="dxa"/>
          </w:tcPr>
          <w:p w14:paraId="041B31A0" w14:textId="77777777" w:rsidR="00850BEA" w:rsidRPr="00850BEA" w:rsidRDefault="00850BEA" w:rsidP="00850BEA">
            <w:pPr>
              <w:ind w:left="720" w:hanging="750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Measurement Tools:</w:t>
            </w:r>
          </w:p>
        </w:tc>
      </w:tr>
      <w:tr w:rsidR="00850BEA" w:rsidRPr="00850BEA" w14:paraId="51FBF4DC" w14:textId="77777777" w:rsidTr="00780248">
        <w:tc>
          <w:tcPr>
            <w:tcW w:w="2425" w:type="dxa"/>
          </w:tcPr>
          <w:p w14:paraId="43D3A151" w14:textId="77777777" w:rsidR="00850BEA" w:rsidRPr="00850BEA" w:rsidRDefault="00850BEA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Diversity, equity and inclusion (DEI) is embedded in COCC department missions and goals.</w:t>
            </w:r>
          </w:p>
          <w:p w14:paraId="28E07BFD" w14:textId="77777777" w:rsidR="00850BEA" w:rsidRPr="00850BEA" w:rsidRDefault="00850BEA" w:rsidP="00850BEA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7017166" w14:textId="3FF5418A" w:rsidR="00850BEA" w:rsidRPr="00850BEA" w:rsidRDefault="00850BEA" w:rsidP="00850BEA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</w:rPr>
            </w:pPr>
            <w:r w:rsidRPr="00850BEA">
              <w:rPr>
                <w:rFonts w:asciiTheme="majorHAnsi" w:eastAsia="Calibri" w:hAnsiTheme="majorHAnsi" w:cstheme="majorHAnsi"/>
              </w:rPr>
              <w:t>COCC Department mission statements</w:t>
            </w:r>
            <w:r w:rsidR="00E974A9">
              <w:rPr>
                <w:rFonts w:asciiTheme="majorHAnsi" w:eastAsia="Calibri" w:hAnsiTheme="majorHAnsi" w:cstheme="majorHAnsi"/>
              </w:rPr>
              <w:t xml:space="preserve"> </w:t>
            </w:r>
            <w:r w:rsidRPr="00850BEA">
              <w:rPr>
                <w:rFonts w:asciiTheme="majorHAnsi" w:eastAsia="Calibri" w:hAnsiTheme="majorHAnsi" w:cstheme="majorHAnsi"/>
              </w:rPr>
              <w:t>will reflect respect for differences.</w:t>
            </w:r>
          </w:p>
          <w:p w14:paraId="1D6843C1" w14:textId="77777777" w:rsidR="00850BEA" w:rsidRPr="00850BEA" w:rsidRDefault="00850BEA" w:rsidP="00850BEA">
            <w:pPr>
              <w:pStyle w:val="ListParagraph"/>
              <w:ind w:left="360"/>
              <w:rPr>
                <w:rFonts w:asciiTheme="majorHAnsi" w:eastAsia="Calibri" w:hAnsiTheme="majorHAnsi" w:cstheme="majorHAnsi"/>
              </w:rPr>
            </w:pPr>
          </w:p>
          <w:p w14:paraId="43FBF398" w14:textId="1DBEADD4" w:rsidR="00850BEA" w:rsidRPr="00850BEA" w:rsidRDefault="005D181A" w:rsidP="00850BE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974A9">
              <w:rPr>
                <w:rFonts w:asciiTheme="majorHAnsi" w:hAnsiTheme="majorHAnsi" w:cstheme="majorHAnsi"/>
                <w:sz w:val="24"/>
                <w:szCs w:val="24"/>
              </w:rPr>
              <w:t>COCC Department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50BEA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Mission statements will be easily accessible and visible for students, staff, and community members. </w:t>
            </w:r>
          </w:p>
          <w:p w14:paraId="33BCD5B4" w14:textId="77777777" w:rsidR="00850BEA" w:rsidRPr="00850BEA" w:rsidRDefault="00850BEA" w:rsidP="00850BEA">
            <w:pPr>
              <w:ind w:left="10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5F18CE" w14:textId="77777777" w:rsidR="00850BEA" w:rsidRPr="00850BEA" w:rsidRDefault="00850BEA" w:rsidP="00850BEA">
            <w:pPr>
              <w:ind w:left="10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7DBA37" w14:textId="77777777" w:rsidR="00850BEA" w:rsidRPr="00850BEA" w:rsidRDefault="00850BEA" w:rsidP="00E97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140" w:type="dxa"/>
          </w:tcPr>
          <w:p w14:paraId="785DAE89" w14:textId="0676226B" w:rsidR="00850BEA" w:rsidRPr="00850BEA" w:rsidRDefault="00C537BA" w:rsidP="00850BE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The Diversity Committee and ODI will m</w:t>
            </w:r>
            <w:r w:rsidR="00850BEA" w:rsidRPr="00850BEA">
              <w:rPr>
                <w:rFonts w:asciiTheme="majorHAnsi" w:eastAsia="Calibri" w:hAnsiTheme="majorHAnsi" w:cstheme="majorHAnsi"/>
              </w:rPr>
              <w:t>eet with College departments to discuss and share ideas.</w:t>
            </w:r>
          </w:p>
          <w:p w14:paraId="3CFDC6D0" w14:textId="77777777" w:rsidR="00850BEA" w:rsidRPr="00850BEA" w:rsidRDefault="00850BEA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C0FBF1" w14:textId="77777777" w:rsidR="00850BEA" w:rsidRPr="00850BEA" w:rsidRDefault="00850BEA" w:rsidP="00850BE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Use the Principles of Community to dialogue with departments about DEI goals.</w:t>
            </w:r>
          </w:p>
          <w:p w14:paraId="7C8E3958" w14:textId="77777777" w:rsidR="00850BEA" w:rsidRPr="00850BEA" w:rsidRDefault="00850BEA" w:rsidP="00850BEA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CC3ECC" w14:textId="62AD830A" w:rsidR="00850BEA" w:rsidRPr="004126B9" w:rsidRDefault="00850BEA" w:rsidP="00850BE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Work with departments to </w:t>
            </w:r>
            <w:r w:rsidR="006937BE">
              <w:rPr>
                <w:rFonts w:asciiTheme="majorHAnsi" w:hAnsiTheme="majorHAnsi" w:cstheme="majorHAnsi"/>
                <w:sz w:val="24"/>
                <w:szCs w:val="24"/>
              </w:rPr>
              <w:t xml:space="preserve">thoughtfully/intentionally </w:t>
            </w:r>
            <w:r w:rsidR="00C537BA">
              <w:rPr>
                <w:rFonts w:asciiTheme="majorHAnsi" w:hAnsiTheme="majorHAnsi" w:cstheme="majorHAnsi"/>
                <w:sz w:val="24"/>
                <w:szCs w:val="24"/>
              </w:rPr>
              <w:t>include</w:t>
            </w:r>
            <w:r w:rsidR="004126B9">
              <w:rPr>
                <w:rFonts w:asciiTheme="majorHAnsi" w:hAnsiTheme="majorHAnsi" w:cstheme="majorHAnsi"/>
                <w:sz w:val="24"/>
                <w:szCs w:val="24"/>
              </w:rPr>
              <w:t xml:space="preserve"> (or review)</w:t>
            </w:r>
            <w:r w:rsidR="00C537B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537BA" w:rsidRPr="00850BEA">
              <w:rPr>
                <w:rFonts w:asciiTheme="majorHAnsi" w:hAnsiTheme="majorHAnsi" w:cstheme="majorHAnsi"/>
                <w:sz w:val="24"/>
                <w:szCs w:val="24"/>
              </w:rPr>
              <w:t>department</w:t>
            </w:r>
            <w:r w:rsidR="006937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mission statements on</w:t>
            </w:r>
            <w:r w:rsidR="004126B9">
              <w:rPr>
                <w:rFonts w:asciiTheme="majorHAnsi" w:hAnsiTheme="majorHAnsi" w:cstheme="majorHAnsi"/>
                <w:sz w:val="24"/>
                <w:szCs w:val="24"/>
              </w:rPr>
              <w:t xml:space="preserve"> webpages if applicable. </w:t>
            </w:r>
          </w:p>
        </w:tc>
        <w:tc>
          <w:tcPr>
            <w:tcW w:w="2970" w:type="dxa"/>
          </w:tcPr>
          <w:p w14:paraId="5B920474" w14:textId="77777777" w:rsidR="00850BEA" w:rsidRPr="00850BEA" w:rsidRDefault="00850BEA" w:rsidP="00850BE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eastAsia="Calibri" w:hAnsiTheme="majorHAnsi" w:cstheme="majorHAnsi"/>
              </w:rPr>
            </w:pPr>
            <w:r w:rsidRPr="00850BEA">
              <w:rPr>
                <w:rFonts w:asciiTheme="majorHAnsi" w:eastAsia="Calibri" w:hAnsiTheme="majorHAnsi" w:cstheme="majorHAnsi"/>
              </w:rPr>
              <w:t>Assess mission statements annually for presence of DEI in their goals.</w:t>
            </w:r>
            <w:r w:rsidRPr="00850BEA">
              <w:rPr>
                <w:rFonts w:asciiTheme="majorHAnsi" w:eastAsia="Calibri" w:hAnsiTheme="majorHAnsi" w:cstheme="majorHAnsi"/>
              </w:rPr>
              <w:br/>
            </w:r>
          </w:p>
          <w:p w14:paraId="0BC1C902" w14:textId="77777777" w:rsidR="00850BEA" w:rsidRPr="00850BEA" w:rsidRDefault="00850BEA" w:rsidP="00850BE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Where possible, departments include their mission statement on the department webpage.</w:t>
            </w:r>
          </w:p>
          <w:p w14:paraId="244916AA" w14:textId="77777777" w:rsidR="00850BEA" w:rsidRPr="00850BEA" w:rsidRDefault="00850BEA" w:rsidP="00850BEA">
            <w:pPr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F72F6E" w14:textId="77777777" w:rsidR="00850BEA" w:rsidRPr="00850BEA" w:rsidRDefault="00850BEA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E36739" w14:textId="77777777" w:rsidR="00850BEA" w:rsidRPr="00850BEA" w:rsidRDefault="00850BEA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64DE594" w14:textId="18A3152F" w:rsidR="00780248" w:rsidRPr="00850BEA" w:rsidRDefault="00780248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8"/>
        <w:tblW w:w="12685" w:type="dxa"/>
        <w:tblLayout w:type="fixed"/>
        <w:tblLook w:val="04A0" w:firstRow="1" w:lastRow="0" w:firstColumn="1" w:lastColumn="0" w:noHBand="0" w:noVBand="1"/>
      </w:tblPr>
      <w:tblGrid>
        <w:gridCol w:w="2628"/>
        <w:gridCol w:w="2947"/>
        <w:gridCol w:w="4140"/>
        <w:gridCol w:w="2970"/>
      </w:tblGrid>
      <w:tr w:rsidR="008A7F6C" w:rsidRPr="00850BEA" w14:paraId="44EE0EE1" w14:textId="77777777" w:rsidTr="00850BEA">
        <w:tc>
          <w:tcPr>
            <w:tcW w:w="12685" w:type="dxa"/>
            <w:gridSpan w:val="4"/>
          </w:tcPr>
          <w:p w14:paraId="6181037F" w14:textId="77777777" w:rsidR="008A7F6C" w:rsidRDefault="008A7F6C" w:rsidP="00850B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Goal #2 Access and Representation</w:t>
            </w:r>
          </w:p>
          <w:p w14:paraId="7E5CB08D" w14:textId="3588F08C" w:rsidR="004126B9" w:rsidRPr="00850BEA" w:rsidRDefault="004126B9" w:rsidP="00850B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A7F6C" w:rsidRPr="00850BEA" w14:paraId="70B01776" w14:textId="77777777" w:rsidTr="00780248">
        <w:tc>
          <w:tcPr>
            <w:tcW w:w="2628" w:type="dxa"/>
          </w:tcPr>
          <w:p w14:paraId="7BBD98BD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Goal:</w:t>
            </w:r>
          </w:p>
        </w:tc>
        <w:tc>
          <w:tcPr>
            <w:tcW w:w="2947" w:type="dxa"/>
          </w:tcPr>
          <w:p w14:paraId="3399840C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Outcomes:</w:t>
            </w:r>
          </w:p>
        </w:tc>
        <w:tc>
          <w:tcPr>
            <w:tcW w:w="4140" w:type="dxa"/>
          </w:tcPr>
          <w:p w14:paraId="236B7DBA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Strategies:</w:t>
            </w:r>
          </w:p>
        </w:tc>
        <w:tc>
          <w:tcPr>
            <w:tcW w:w="2970" w:type="dxa"/>
          </w:tcPr>
          <w:p w14:paraId="6DC31957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Measurement Tools:</w:t>
            </w:r>
          </w:p>
        </w:tc>
      </w:tr>
      <w:tr w:rsidR="008A7F6C" w:rsidRPr="00850BEA" w14:paraId="22E27667" w14:textId="77777777" w:rsidTr="00780248">
        <w:tc>
          <w:tcPr>
            <w:tcW w:w="2628" w:type="dxa"/>
          </w:tcPr>
          <w:p w14:paraId="275AE710" w14:textId="3FE1C722" w:rsidR="008A7F6C" w:rsidRPr="00850BEA" w:rsidRDefault="008B12D0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The College will d</w:t>
            </w:r>
            <w:r w:rsidR="00F22815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evelop </w:t>
            </w:r>
            <w:r w:rsidR="000C1624" w:rsidRPr="00850BEA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F22815" w:rsidRPr="00850BEA">
              <w:rPr>
                <w:rFonts w:asciiTheme="majorHAnsi" w:hAnsiTheme="majorHAnsi" w:cstheme="majorHAnsi"/>
                <w:sz w:val="24"/>
                <w:szCs w:val="24"/>
              </w:rPr>
              <w:t>ractices to increase and better align employee demographics with that of the students and communit</w:t>
            </w:r>
            <w:r w:rsidR="000C1624" w:rsidRPr="00850BEA">
              <w:rPr>
                <w:rFonts w:asciiTheme="majorHAnsi" w:hAnsiTheme="majorHAnsi" w:cstheme="majorHAnsi"/>
                <w:sz w:val="24"/>
                <w:szCs w:val="24"/>
              </w:rPr>
              <w:t>ies</w:t>
            </w:r>
            <w:r w:rsidR="00F22815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 it serves. </w:t>
            </w:r>
          </w:p>
          <w:p w14:paraId="655F2388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7" w:type="dxa"/>
          </w:tcPr>
          <w:p w14:paraId="59820961" w14:textId="6777713F" w:rsidR="008A7F6C" w:rsidRPr="008F00EF" w:rsidRDefault="00850BEA" w:rsidP="008F00E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F00EF">
              <w:rPr>
                <w:rFonts w:asciiTheme="majorHAnsi" w:hAnsiTheme="majorHAnsi" w:cstheme="majorHAnsi"/>
              </w:rPr>
              <w:t>DEI</w:t>
            </w:r>
            <w:r w:rsidR="00D001B0" w:rsidRPr="008F00EF">
              <w:rPr>
                <w:rFonts w:asciiTheme="majorHAnsi" w:hAnsiTheme="majorHAnsi" w:cstheme="majorHAnsi"/>
              </w:rPr>
              <w:t xml:space="preserve"> will be</w:t>
            </w:r>
            <w:r w:rsidR="008F00EF" w:rsidRPr="008F00EF">
              <w:rPr>
                <w:rFonts w:asciiTheme="majorHAnsi" w:hAnsiTheme="majorHAnsi" w:cstheme="majorHAnsi"/>
              </w:rPr>
              <w:t xml:space="preserve"> </w:t>
            </w:r>
            <w:r w:rsidR="008A7F6C" w:rsidRPr="008F00EF">
              <w:rPr>
                <w:rFonts w:asciiTheme="majorHAnsi" w:hAnsiTheme="majorHAnsi" w:cstheme="majorHAnsi"/>
              </w:rPr>
              <w:t xml:space="preserve">embedded in the framework of COCC’s employee and student recruitment, retention, and engagement efforts. </w:t>
            </w:r>
          </w:p>
          <w:p w14:paraId="6CAEC599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DF65FD" w14:textId="40CCFD3F" w:rsidR="008A7F6C" w:rsidRPr="00850BEA" w:rsidRDefault="008A7F6C" w:rsidP="008F00EF">
            <w:pPr>
              <w:pStyle w:val="ListParagraph"/>
              <w:numPr>
                <w:ilvl w:val="0"/>
                <w:numId w:val="4"/>
              </w:numPr>
              <w:ind w:left="406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Every hiring committee </w:t>
            </w:r>
            <w:r w:rsidR="00D001B0" w:rsidRPr="00850BEA">
              <w:rPr>
                <w:rFonts w:asciiTheme="majorHAnsi" w:hAnsiTheme="majorHAnsi" w:cstheme="majorHAnsi"/>
              </w:rPr>
              <w:t xml:space="preserve">will have </w:t>
            </w:r>
            <w:r w:rsidRPr="00850BEA">
              <w:rPr>
                <w:rFonts w:asciiTheme="majorHAnsi" w:hAnsiTheme="majorHAnsi" w:cstheme="majorHAnsi"/>
              </w:rPr>
              <w:t xml:space="preserve">a minimum of </w:t>
            </w:r>
            <w:r w:rsidR="000C1624" w:rsidRPr="00850BEA">
              <w:rPr>
                <w:rFonts w:asciiTheme="majorHAnsi" w:hAnsiTheme="majorHAnsi" w:cstheme="majorHAnsi"/>
              </w:rPr>
              <w:t xml:space="preserve">one </w:t>
            </w:r>
            <w:r w:rsidRPr="00850BEA">
              <w:rPr>
                <w:rFonts w:asciiTheme="majorHAnsi" w:hAnsiTheme="majorHAnsi" w:cstheme="majorHAnsi"/>
              </w:rPr>
              <w:t>person who has participated in Cultural Respectful Hiring Practices (CRHP) workshop.</w:t>
            </w:r>
          </w:p>
        </w:tc>
        <w:tc>
          <w:tcPr>
            <w:tcW w:w="4140" w:type="dxa"/>
          </w:tcPr>
          <w:p w14:paraId="74D593E1" w14:textId="4F14125C" w:rsidR="008A7F6C" w:rsidRPr="008F00EF" w:rsidRDefault="008A7F6C" w:rsidP="008F00E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F00EF">
              <w:rPr>
                <w:rFonts w:asciiTheme="majorHAnsi" w:hAnsiTheme="majorHAnsi" w:cstheme="majorHAnsi"/>
              </w:rPr>
              <w:t>Work with H</w:t>
            </w:r>
            <w:r w:rsidR="00851D51" w:rsidRPr="008F00EF">
              <w:rPr>
                <w:rFonts w:asciiTheme="majorHAnsi" w:hAnsiTheme="majorHAnsi" w:cstheme="majorHAnsi"/>
              </w:rPr>
              <w:t>uman Resources</w:t>
            </w:r>
            <w:r w:rsidR="00977BDF" w:rsidRPr="008F00EF">
              <w:rPr>
                <w:rFonts w:asciiTheme="majorHAnsi" w:hAnsiTheme="majorHAnsi" w:cstheme="majorHAnsi"/>
              </w:rPr>
              <w:t xml:space="preserve"> (HR)</w:t>
            </w:r>
            <w:r w:rsidRPr="008F00EF">
              <w:rPr>
                <w:rFonts w:asciiTheme="majorHAnsi" w:hAnsiTheme="majorHAnsi" w:cstheme="majorHAnsi"/>
              </w:rPr>
              <w:t xml:space="preserve"> to ensure that all job descriptions </w:t>
            </w:r>
            <w:r w:rsidR="002D6724">
              <w:rPr>
                <w:rFonts w:asciiTheme="majorHAnsi" w:hAnsiTheme="majorHAnsi" w:cstheme="majorHAnsi"/>
              </w:rPr>
              <w:t xml:space="preserve">include </w:t>
            </w:r>
            <w:r w:rsidRPr="008F00EF">
              <w:rPr>
                <w:rFonts w:asciiTheme="majorHAnsi" w:hAnsiTheme="majorHAnsi" w:cstheme="majorHAnsi"/>
              </w:rPr>
              <w:t xml:space="preserve">equity </w:t>
            </w:r>
            <w:r w:rsidR="000C1624" w:rsidRPr="008F00EF">
              <w:rPr>
                <w:rFonts w:asciiTheme="majorHAnsi" w:hAnsiTheme="majorHAnsi" w:cstheme="majorHAnsi"/>
              </w:rPr>
              <w:t xml:space="preserve">statement(s) </w:t>
            </w:r>
            <w:r w:rsidR="00F22815" w:rsidRPr="008F00EF">
              <w:rPr>
                <w:rFonts w:asciiTheme="majorHAnsi" w:hAnsiTheme="majorHAnsi" w:cstheme="majorHAnsi"/>
              </w:rPr>
              <w:t>in the knowledge, skills, and abilities section of job description</w:t>
            </w:r>
            <w:r w:rsidR="000C1624" w:rsidRPr="008F00EF">
              <w:rPr>
                <w:rFonts w:asciiTheme="majorHAnsi" w:hAnsiTheme="majorHAnsi" w:cstheme="majorHAnsi"/>
              </w:rPr>
              <w:t>s</w:t>
            </w:r>
            <w:r w:rsidR="00E974A9">
              <w:rPr>
                <w:rFonts w:asciiTheme="majorHAnsi" w:hAnsiTheme="majorHAnsi" w:cstheme="majorHAnsi"/>
              </w:rPr>
              <w:t xml:space="preserve"> and equivalency statements where applicable</w:t>
            </w:r>
            <w:r w:rsidR="00F22815" w:rsidRPr="008F00EF">
              <w:rPr>
                <w:rFonts w:asciiTheme="majorHAnsi" w:hAnsiTheme="majorHAnsi" w:cstheme="majorHAnsi"/>
              </w:rPr>
              <w:t>.</w:t>
            </w:r>
          </w:p>
          <w:p w14:paraId="40970A69" w14:textId="77777777" w:rsidR="008A7F6C" w:rsidRPr="00850BEA" w:rsidRDefault="008A7F6C" w:rsidP="00850BE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7D7738BB" w14:textId="3E2F12D7" w:rsidR="008A7F6C" w:rsidRPr="00850BEA" w:rsidRDefault="008A7F6C" w:rsidP="00850BEA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Work with HR to </w:t>
            </w:r>
            <w:r w:rsidR="00766DF6" w:rsidRPr="00850BEA">
              <w:rPr>
                <w:rFonts w:asciiTheme="majorHAnsi" w:hAnsiTheme="majorHAnsi" w:cstheme="majorHAnsi"/>
              </w:rPr>
              <w:t>identify best practices in recruiting individuals from underrepresented populations</w:t>
            </w:r>
            <w:r w:rsidRPr="00850BEA">
              <w:rPr>
                <w:rFonts w:asciiTheme="majorHAnsi" w:hAnsiTheme="majorHAnsi" w:cstheme="majorHAnsi"/>
              </w:rPr>
              <w:t xml:space="preserve">. </w:t>
            </w:r>
          </w:p>
          <w:p w14:paraId="61C84EEC" w14:textId="77777777" w:rsidR="008A7F6C" w:rsidRPr="00850BEA" w:rsidRDefault="008A7F6C" w:rsidP="00850BE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5C88B0A3" w14:textId="2EF29607" w:rsidR="008A7F6C" w:rsidRPr="00850BEA" w:rsidRDefault="008A7F6C" w:rsidP="00850BEA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Offer quarterly CRHP workshops for </w:t>
            </w:r>
            <w:r w:rsidR="000C1624" w:rsidRPr="00850BEA">
              <w:rPr>
                <w:rFonts w:asciiTheme="majorHAnsi" w:hAnsiTheme="majorHAnsi" w:cstheme="majorHAnsi"/>
              </w:rPr>
              <w:t>COCC employees</w:t>
            </w:r>
            <w:r w:rsidRPr="00850BEA">
              <w:rPr>
                <w:rFonts w:asciiTheme="majorHAnsi" w:hAnsiTheme="majorHAnsi" w:cstheme="majorHAnsi"/>
              </w:rPr>
              <w:t>.</w:t>
            </w:r>
          </w:p>
          <w:p w14:paraId="02ED558E" w14:textId="77777777" w:rsidR="008A7F6C" w:rsidRPr="00850BEA" w:rsidRDefault="008A7F6C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1E765E" w14:textId="585B4A0E" w:rsidR="008A7F6C" w:rsidRPr="00850BEA" w:rsidRDefault="00766DF6" w:rsidP="00850BEA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Develop a bank of interview questions that help assess all candidates’ skills in supporting COCC’s Principles of Community.</w:t>
            </w:r>
            <w:r w:rsidR="004E2295">
              <w:rPr>
                <w:rFonts w:asciiTheme="majorHAnsi" w:hAnsiTheme="majorHAnsi" w:cstheme="majorHAnsi"/>
              </w:rPr>
              <w:t xml:space="preserve"> </w:t>
            </w:r>
            <w:r w:rsidRPr="00850BEA">
              <w:rPr>
                <w:rFonts w:asciiTheme="majorHAnsi" w:hAnsiTheme="majorHAnsi" w:cstheme="majorHAnsi"/>
              </w:rPr>
              <w:t xml:space="preserve"> </w:t>
            </w:r>
          </w:p>
          <w:p w14:paraId="17DB4A7C" w14:textId="54420CB2" w:rsidR="00766DF6" w:rsidRPr="00850BEA" w:rsidRDefault="00766DF6" w:rsidP="00850B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6DC54C" w14:textId="2C36D3EB" w:rsidR="008A7F6C" w:rsidRDefault="008A7F6C" w:rsidP="008F00E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Work with </w:t>
            </w:r>
            <w:r w:rsidR="00766DF6" w:rsidRPr="00850BEA">
              <w:rPr>
                <w:rFonts w:asciiTheme="majorHAnsi" w:hAnsiTheme="majorHAnsi" w:cstheme="majorHAnsi"/>
              </w:rPr>
              <w:t>COCC</w:t>
            </w:r>
            <w:r w:rsidR="00C14EE3" w:rsidRPr="00850BEA">
              <w:rPr>
                <w:rFonts w:asciiTheme="majorHAnsi" w:hAnsiTheme="majorHAnsi" w:cstheme="majorHAnsi"/>
              </w:rPr>
              <w:t xml:space="preserve"> </w:t>
            </w:r>
            <w:r w:rsidR="00977BDF" w:rsidRPr="00850BEA">
              <w:rPr>
                <w:rFonts w:asciiTheme="majorHAnsi" w:hAnsiTheme="majorHAnsi" w:cstheme="majorHAnsi"/>
              </w:rPr>
              <w:t xml:space="preserve">faculty and </w:t>
            </w:r>
            <w:r w:rsidR="00C14EE3" w:rsidRPr="00850BEA">
              <w:rPr>
                <w:rFonts w:asciiTheme="majorHAnsi" w:hAnsiTheme="majorHAnsi" w:cstheme="majorHAnsi"/>
              </w:rPr>
              <w:t>staff from across the College</w:t>
            </w:r>
            <w:r w:rsidRPr="00850BEA">
              <w:rPr>
                <w:rFonts w:asciiTheme="majorHAnsi" w:hAnsiTheme="majorHAnsi" w:cstheme="majorHAnsi"/>
              </w:rPr>
              <w:t xml:space="preserve"> to identify and implement </w:t>
            </w:r>
            <w:r w:rsidR="00977BDF" w:rsidRPr="00850BEA">
              <w:rPr>
                <w:rFonts w:asciiTheme="majorHAnsi" w:hAnsiTheme="majorHAnsi" w:cstheme="majorHAnsi"/>
              </w:rPr>
              <w:t xml:space="preserve">recruitment and </w:t>
            </w:r>
            <w:r w:rsidRPr="00850BEA">
              <w:rPr>
                <w:rFonts w:asciiTheme="majorHAnsi" w:hAnsiTheme="majorHAnsi" w:cstheme="majorHAnsi"/>
              </w:rPr>
              <w:t>retention programs aimed at increasing student success rates for underrepresented students.</w:t>
            </w:r>
          </w:p>
          <w:p w14:paraId="4E6CBA02" w14:textId="738F6185" w:rsidR="00E974A9" w:rsidRDefault="00E974A9" w:rsidP="00E974A9">
            <w:pPr>
              <w:rPr>
                <w:rFonts w:asciiTheme="majorHAnsi" w:hAnsiTheme="majorHAnsi" w:cstheme="majorHAnsi"/>
              </w:rPr>
            </w:pPr>
          </w:p>
          <w:p w14:paraId="5E9D266C" w14:textId="77777777" w:rsidR="00E974A9" w:rsidRPr="00E974A9" w:rsidRDefault="00E974A9" w:rsidP="00E974A9">
            <w:pPr>
              <w:rPr>
                <w:rFonts w:asciiTheme="majorHAnsi" w:hAnsiTheme="majorHAnsi" w:cstheme="majorHAnsi"/>
              </w:rPr>
            </w:pPr>
          </w:p>
          <w:p w14:paraId="4E103FD6" w14:textId="789E1863" w:rsidR="00E974A9" w:rsidRPr="00850BEA" w:rsidRDefault="00E974A9" w:rsidP="008F00E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HR and hiring supervisors and/or CRHP participants to review equity and bias with the hiring committee. </w:t>
            </w:r>
          </w:p>
        </w:tc>
        <w:tc>
          <w:tcPr>
            <w:tcW w:w="2970" w:type="dxa"/>
          </w:tcPr>
          <w:p w14:paraId="6E814879" w14:textId="4A787217" w:rsidR="008A7F6C" w:rsidRPr="002D6724" w:rsidRDefault="008A7F6C" w:rsidP="002D6724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Theme="majorHAnsi" w:hAnsiTheme="majorHAnsi" w:cstheme="majorHAnsi"/>
              </w:rPr>
            </w:pPr>
            <w:r w:rsidRPr="002D6724">
              <w:rPr>
                <w:rFonts w:asciiTheme="majorHAnsi" w:hAnsiTheme="majorHAnsi" w:cstheme="majorHAnsi"/>
              </w:rPr>
              <w:lastRenderedPageBreak/>
              <w:t>Student admissions and retention statistics.</w:t>
            </w:r>
          </w:p>
          <w:p w14:paraId="70C63793" w14:textId="77777777" w:rsidR="008A7F6C" w:rsidRPr="00850BEA" w:rsidRDefault="008A7F6C" w:rsidP="00850BEA">
            <w:pPr>
              <w:pStyle w:val="ListParagraph"/>
              <w:ind w:left="252"/>
              <w:contextualSpacing w:val="0"/>
              <w:rPr>
                <w:rFonts w:asciiTheme="majorHAnsi" w:hAnsiTheme="majorHAnsi" w:cstheme="majorHAnsi"/>
              </w:rPr>
            </w:pPr>
          </w:p>
          <w:p w14:paraId="7F4EF8B6" w14:textId="77777777" w:rsidR="008A7F6C" w:rsidRPr="00850BEA" w:rsidRDefault="008A7F6C" w:rsidP="00850BE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Employee hiring statistics.</w:t>
            </w:r>
          </w:p>
          <w:p w14:paraId="13A85721" w14:textId="77777777" w:rsidR="008A7F6C" w:rsidRPr="00850BEA" w:rsidRDefault="008A7F6C" w:rsidP="00850BEA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3C234DF4" w14:textId="77777777" w:rsidR="008A7F6C" w:rsidRPr="00850BEA" w:rsidRDefault="008A7F6C" w:rsidP="00850BE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COCC district statistics.</w:t>
            </w:r>
          </w:p>
          <w:p w14:paraId="31724FA0" w14:textId="77777777" w:rsidR="008A7F6C" w:rsidRPr="00850BEA" w:rsidRDefault="008A7F6C" w:rsidP="00850BEA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096579A1" w14:textId="6F0A61AC" w:rsidR="008A7F6C" w:rsidRPr="00850BEA" w:rsidRDefault="008A7F6C" w:rsidP="00850BE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Number of employees that have completed CRHP workshop.</w:t>
            </w:r>
            <w:r w:rsidR="00FF5C75">
              <w:rPr>
                <w:rFonts w:asciiTheme="majorHAnsi" w:hAnsiTheme="majorHAnsi" w:cstheme="majorHAnsi"/>
              </w:rPr>
              <w:t xml:space="preserve">  </w:t>
            </w:r>
          </w:p>
          <w:p w14:paraId="3B3EC654" w14:textId="77777777" w:rsidR="008A7F6C" w:rsidRPr="00850BEA" w:rsidRDefault="008A7F6C" w:rsidP="00850BEA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724B4ADF" w14:textId="5C780C8E" w:rsidR="008A7F6C" w:rsidRPr="006773FD" w:rsidRDefault="008A7F6C" w:rsidP="006773FD">
            <w:pPr>
              <w:rPr>
                <w:rFonts w:asciiTheme="majorHAnsi" w:hAnsiTheme="majorHAnsi" w:cstheme="majorHAnsi"/>
              </w:rPr>
            </w:pPr>
            <w:commentRangeStart w:id="2"/>
            <w:commentRangeEnd w:id="2"/>
          </w:p>
          <w:p w14:paraId="4D843C5B" w14:textId="77777777" w:rsidR="008A7F6C" w:rsidRPr="00850BEA" w:rsidRDefault="008A7F6C" w:rsidP="00850BEA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650C45E6" w14:textId="77777777" w:rsidR="008A7F6C" w:rsidRPr="00850BEA" w:rsidRDefault="008A7F6C" w:rsidP="00850BEA">
            <w:pPr>
              <w:pStyle w:val="ListParagraph"/>
              <w:ind w:left="252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05B03ACF" w14:textId="77777777" w:rsidR="00940E20" w:rsidRPr="00850BEA" w:rsidRDefault="00940E20" w:rsidP="008A4B4A">
      <w:pPr>
        <w:spacing w:line="240" w:lineRule="auto"/>
        <w:ind w:left="720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</w:p>
    <w:p w14:paraId="089E746D" w14:textId="19723867" w:rsidR="00C94BB4" w:rsidRPr="00850BEA" w:rsidRDefault="00C94BB4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80" w:rightFromText="180" w:vertAnchor="page" w:horzAnchor="margin" w:tblpX="-9" w:tblpY="706"/>
        <w:tblW w:w="126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89" w:type="dxa"/>
          <w:left w:w="89" w:type="dxa"/>
          <w:bottom w:w="89" w:type="dxa"/>
          <w:right w:w="89" w:type="dxa"/>
        </w:tblCellMar>
        <w:tblLook w:val="0600" w:firstRow="0" w:lastRow="0" w:firstColumn="0" w:lastColumn="0" w:noHBand="1" w:noVBand="1"/>
      </w:tblPr>
      <w:tblGrid>
        <w:gridCol w:w="2430"/>
        <w:gridCol w:w="3150"/>
        <w:gridCol w:w="4131"/>
        <w:gridCol w:w="2979"/>
      </w:tblGrid>
      <w:tr w:rsidR="00850BEA" w:rsidRPr="00850BEA" w14:paraId="2753E474" w14:textId="77777777" w:rsidTr="00780248">
        <w:tc>
          <w:tcPr>
            <w:tcW w:w="12690" w:type="dxa"/>
            <w:gridSpan w:val="4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7B131D31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Goal #3 College Climate</w:t>
            </w:r>
          </w:p>
        </w:tc>
      </w:tr>
      <w:tr w:rsidR="00850BEA" w:rsidRPr="00850BEA" w14:paraId="17EEDC00" w14:textId="77777777" w:rsidTr="00780248">
        <w:tc>
          <w:tcPr>
            <w:tcW w:w="2430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586FEF29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Goal:</w:t>
            </w:r>
          </w:p>
        </w:tc>
        <w:tc>
          <w:tcPr>
            <w:tcW w:w="3150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5936DA80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Outcomes:</w:t>
            </w:r>
          </w:p>
        </w:tc>
        <w:tc>
          <w:tcPr>
            <w:tcW w:w="4131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28693BD7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Strategies:</w:t>
            </w:r>
          </w:p>
        </w:tc>
        <w:tc>
          <w:tcPr>
            <w:tcW w:w="2979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68296AB0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Measurement Tools:</w:t>
            </w:r>
          </w:p>
        </w:tc>
      </w:tr>
      <w:tr w:rsidR="00850BEA" w:rsidRPr="00850BEA" w14:paraId="3194DC6C" w14:textId="77777777" w:rsidTr="00780248">
        <w:tc>
          <w:tcPr>
            <w:tcW w:w="2430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417A9B5B" w14:textId="77777777" w:rsidR="00850BEA" w:rsidRPr="00850BEA" w:rsidRDefault="00850BEA" w:rsidP="0078024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Ensure that COCC maintains a respectful and inclusive College climate.</w:t>
            </w:r>
          </w:p>
        </w:tc>
        <w:tc>
          <w:tcPr>
            <w:tcW w:w="3150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17A6C41C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Students and employees will feel respected, safe, and welcome at the College.</w:t>
            </w:r>
          </w:p>
          <w:p w14:paraId="73BE15AC" w14:textId="77777777" w:rsidR="00850BEA" w:rsidRPr="00850BEA" w:rsidRDefault="00850BEA" w:rsidP="00780248">
            <w:pPr>
              <w:pStyle w:val="ListParagraph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  <w:p w14:paraId="5E526DD4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Underrepresented students and employees will see themselves reflected in curriculum and College activities.</w:t>
            </w:r>
          </w:p>
          <w:p w14:paraId="1B4C5215" w14:textId="77777777" w:rsidR="00850BEA" w:rsidRPr="00850BEA" w:rsidRDefault="00850BEA" w:rsidP="00780248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59F5B0F7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Working with the Director of Student Life and the Title IX Coordinator, acts of disrespect and/or discrimination will be responded to in an appropriate and timely manner.</w:t>
            </w:r>
          </w:p>
        </w:tc>
        <w:tc>
          <w:tcPr>
            <w:tcW w:w="4131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4192DC8E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Embed the Principles of Community as part of the new employee onboarding process.</w:t>
            </w:r>
          </w:p>
          <w:p w14:paraId="3A2411D9" w14:textId="77777777" w:rsidR="00850BEA" w:rsidRPr="00850BEA" w:rsidRDefault="00850BEA" w:rsidP="007802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CD78A4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Coordinate intentional discussions regarding the Principles of Community through various forums annually.</w:t>
            </w:r>
          </w:p>
          <w:p w14:paraId="2999F802" w14:textId="77777777" w:rsidR="00850BEA" w:rsidRPr="00850BEA" w:rsidRDefault="00850BEA" w:rsidP="00780248">
            <w:pPr>
              <w:pStyle w:val="ListParagraph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  <w:p w14:paraId="12CC22B2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Ensure that College events and programs reflect various cultures, histories, perspectives, and other differences (including, but not limited to, ethnicity, religion, sexual orientation, disabilities, and class.)</w:t>
            </w:r>
          </w:p>
          <w:p w14:paraId="3C5BC275" w14:textId="77777777" w:rsidR="00850BEA" w:rsidRPr="00850BEA" w:rsidRDefault="00850BEA" w:rsidP="00780248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273FDA66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Work with Human Resources, Marketing and Public Relations, and other departments to increase availability of bilingual services and information across the College.</w:t>
            </w:r>
          </w:p>
          <w:p w14:paraId="57AA3100" w14:textId="77777777" w:rsidR="00850BEA" w:rsidRPr="00850BEA" w:rsidRDefault="00850BEA" w:rsidP="00780248">
            <w:pPr>
              <w:pStyle w:val="ListParagraph"/>
              <w:contextualSpacing w:val="0"/>
              <w:rPr>
                <w:rFonts w:asciiTheme="majorHAnsi" w:hAnsiTheme="majorHAnsi" w:cstheme="majorHAnsi"/>
              </w:rPr>
            </w:pPr>
          </w:p>
          <w:p w14:paraId="3726C4D0" w14:textId="5F74C49B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Communicate with leadership to ensure that College art and</w:t>
            </w:r>
            <w:r w:rsidR="00780248">
              <w:rPr>
                <w:rFonts w:asciiTheme="majorHAnsi" w:hAnsiTheme="majorHAnsi" w:cstheme="majorHAnsi"/>
              </w:rPr>
              <w:t xml:space="preserve"> </w:t>
            </w:r>
            <w:r w:rsidRPr="00850BEA">
              <w:rPr>
                <w:rFonts w:asciiTheme="majorHAnsi" w:hAnsiTheme="majorHAnsi" w:cstheme="majorHAnsi"/>
              </w:rPr>
              <w:t>architecture reflects cultural diversity.</w:t>
            </w:r>
          </w:p>
        </w:tc>
        <w:tc>
          <w:tcPr>
            <w:tcW w:w="2979" w:type="dxa"/>
            <w:shd w:val="clear" w:color="auto" w:fill="auto"/>
            <w:tcMar>
              <w:top w:w="89" w:type="dxa"/>
              <w:left w:w="89" w:type="dxa"/>
              <w:bottom w:w="89" w:type="dxa"/>
              <w:right w:w="89" w:type="dxa"/>
            </w:tcMar>
          </w:tcPr>
          <w:p w14:paraId="6559240C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Every three years, assess results from the Staff College Climate or Great Colleges to Work For assessment.  </w:t>
            </w:r>
          </w:p>
          <w:p w14:paraId="27C8BAF3" w14:textId="77777777" w:rsidR="00850BEA" w:rsidRPr="00850BEA" w:rsidRDefault="00850BEA" w:rsidP="00780248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5AB8C6E8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Every three years, assess the results from the Student College Climate Survey.</w:t>
            </w:r>
            <w:r w:rsidRPr="00850BEA">
              <w:rPr>
                <w:rFonts w:asciiTheme="majorHAnsi" w:hAnsiTheme="majorHAnsi" w:cstheme="majorHAnsi"/>
              </w:rPr>
              <w:br/>
            </w:r>
          </w:p>
          <w:p w14:paraId="7DB388D2" w14:textId="77777777" w:rsidR="00850BEA" w:rsidRPr="00850BEA" w:rsidRDefault="00850BEA" w:rsidP="0078024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Every Summer/Fall, assess the results from the Graduate Survey.</w:t>
            </w:r>
            <w:r w:rsidRPr="00850BEA">
              <w:rPr>
                <w:rFonts w:asciiTheme="majorHAnsi" w:hAnsiTheme="majorHAnsi" w:cstheme="majorHAnsi"/>
              </w:rPr>
              <w:br/>
            </w:r>
          </w:p>
          <w:p w14:paraId="6B94D89F" w14:textId="77777777" w:rsidR="00850BEA" w:rsidRPr="00850BEA" w:rsidRDefault="00850BEA" w:rsidP="00780248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br/>
            </w:r>
          </w:p>
          <w:p w14:paraId="4847412D" w14:textId="77777777" w:rsidR="00850BEA" w:rsidRPr="00850BEA" w:rsidRDefault="00850BEA" w:rsidP="00780248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br/>
            </w:r>
          </w:p>
          <w:p w14:paraId="709C2719" w14:textId="77777777" w:rsidR="00850BEA" w:rsidRPr="00850BEA" w:rsidRDefault="00850BEA" w:rsidP="00780248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3302ED42" w14:textId="49A7A581" w:rsidR="00C94BB4" w:rsidRPr="00850BEA" w:rsidRDefault="00C94BB4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F8532A9" w14:textId="73F54D57" w:rsidR="0071565F" w:rsidRPr="00850BEA" w:rsidRDefault="0071565F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24A4FB8B" w14:textId="77777777" w:rsidR="0071565F" w:rsidRPr="00850BEA" w:rsidRDefault="0071565F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2798" w:type="dxa"/>
        <w:tblInd w:w="-113" w:type="dxa"/>
        <w:tblLook w:val="04A0" w:firstRow="1" w:lastRow="0" w:firstColumn="1" w:lastColumn="0" w:noHBand="0" w:noVBand="1"/>
      </w:tblPr>
      <w:tblGrid>
        <w:gridCol w:w="2301"/>
        <w:gridCol w:w="3387"/>
        <w:gridCol w:w="4140"/>
        <w:gridCol w:w="2970"/>
      </w:tblGrid>
      <w:tr w:rsidR="00F66AD9" w:rsidRPr="00850BEA" w14:paraId="5EE6D313" w14:textId="77777777" w:rsidTr="00850BEA">
        <w:trPr>
          <w:trHeight w:val="530"/>
        </w:trPr>
        <w:tc>
          <w:tcPr>
            <w:tcW w:w="12798" w:type="dxa"/>
            <w:gridSpan w:val="4"/>
          </w:tcPr>
          <w:p w14:paraId="41BF31D0" w14:textId="0701EA39" w:rsidR="00F66AD9" w:rsidRPr="00850BEA" w:rsidRDefault="00F66AD9" w:rsidP="008A4B4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Goal #4 Education and Training</w:t>
            </w:r>
          </w:p>
        </w:tc>
      </w:tr>
      <w:tr w:rsidR="00F66AD9" w:rsidRPr="00850BEA" w14:paraId="702ABC84" w14:textId="77777777" w:rsidTr="00780248">
        <w:trPr>
          <w:trHeight w:val="413"/>
        </w:trPr>
        <w:tc>
          <w:tcPr>
            <w:tcW w:w="2301" w:type="dxa"/>
          </w:tcPr>
          <w:p w14:paraId="583C69ED" w14:textId="4D3326EB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Goal:</w:t>
            </w:r>
          </w:p>
        </w:tc>
        <w:tc>
          <w:tcPr>
            <w:tcW w:w="3387" w:type="dxa"/>
          </w:tcPr>
          <w:p w14:paraId="20B883C3" w14:textId="6C0AFB46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  <w:r w:rsidR="00137D7D" w:rsidRPr="00850BE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14:paraId="61A3A16F" w14:textId="4376E001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Strategies:</w:t>
            </w:r>
          </w:p>
        </w:tc>
        <w:tc>
          <w:tcPr>
            <w:tcW w:w="2970" w:type="dxa"/>
          </w:tcPr>
          <w:p w14:paraId="5D75181B" w14:textId="2EAD9F8E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Measurement Tools:</w:t>
            </w:r>
          </w:p>
        </w:tc>
      </w:tr>
      <w:tr w:rsidR="00C94BB4" w:rsidRPr="00850BEA" w14:paraId="58961D8B" w14:textId="77777777" w:rsidTr="00780248"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F0C9" w14:textId="4E2BC7B1" w:rsidR="00F66AD9" w:rsidRPr="00850BEA" w:rsidRDefault="0071565F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F66AD9" w:rsidRPr="00850BEA">
              <w:rPr>
                <w:rFonts w:asciiTheme="majorHAnsi" w:hAnsiTheme="majorHAnsi" w:cstheme="majorHAnsi"/>
                <w:sz w:val="24"/>
                <w:szCs w:val="24"/>
              </w:rPr>
              <w:t>upport, create, and/or lead</w:t>
            </w:r>
            <w:r w:rsidR="00851D51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 educational opportunities</w:t>
            </w:r>
            <w:r w:rsidR="00717178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 for students and employees</w:t>
            </w:r>
            <w:r w:rsidR="00F66AD9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 t</w:t>
            </w:r>
            <w:r w:rsidR="00851D51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hat help </w:t>
            </w:r>
            <w:r w:rsidR="00F66AD9" w:rsidRPr="00850BEA">
              <w:rPr>
                <w:rFonts w:asciiTheme="majorHAnsi" w:hAnsiTheme="majorHAnsi" w:cstheme="majorHAnsi"/>
                <w:sz w:val="24"/>
                <w:szCs w:val="24"/>
              </w:rPr>
              <w:t>foster a welcoming community for all.</w:t>
            </w:r>
          </w:p>
          <w:p w14:paraId="328F05B2" w14:textId="77777777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6707FD" w14:textId="52EDBC10" w:rsidR="003639A5" w:rsidRPr="00850BEA" w:rsidRDefault="00F66AD9" w:rsidP="00B9210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Students will have </w:t>
            </w:r>
            <w:r w:rsidR="003806CF" w:rsidRPr="00850BEA">
              <w:rPr>
                <w:rFonts w:asciiTheme="majorHAnsi" w:hAnsiTheme="majorHAnsi" w:cstheme="majorHAnsi"/>
              </w:rPr>
              <w:t>access to tools</w:t>
            </w:r>
            <w:r w:rsidRPr="00850BEA">
              <w:rPr>
                <w:rFonts w:asciiTheme="majorHAnsi" w:hAnsiTheme="majorHAnsi" w:cstheme="majorHAnsi"/>
              </w:rPr>
              <w:t xml:space="preserve"> to</w:t>
            </w:r>
            <w:r w:rsidR="003806CF" w:rsidRPr="00850BEA">
              <w:rPr>
                <w:rFonts w:asciiTheme="majorHAnsi" w:hAnsiTheme="majorHAnsi" w:cstheme="majorHAnsi"/>
              </w:rPr>
              <w:t xml:space="preserve"> help them</w:t>
            </w:r>
            <w:r w:rsidRPr="00850BEA">
              <w:rPr>
                <w:rFonts w:asciiTheme="majorHAnsi" w:hAnsiTheme="majorHAnsi" w:cstheme="majorHAnsi"/>
              </w:rPr>
              <w:t xml:space="preserve"> respectfully interact with </w:t>
            </w:r>
            <w:r w:rsidR="003806CF" w:rsidRPr="00850BEA">
              <w:rPr>
                <w:rFonts w:asciiTheme="majorHAnsi" w:hAnsiTheme="majorHAnsi" w:cstheme="majorHAnsi"/>
              </w:rPr>
              <w:t>a diverse</w:t>
            </w:r>
            <w:r w:rsidRPr="00850BEA">
              <w:rPr>
                <w:rFonts w:asciiTheme="majorHAnsi" w:hAnsiTheme="majorHAnsi" w:cstheme="majorHAnsi"/>
              </w:rPr>
              <w:t xml:space="preserve"> community.</w:t>
            </w:r>
            <w:r w:rsidR="003639A5" w:rsidRPr="00850BEA">
              <w:rPr>
                <w:rFonts w:asciiTheme="majorHAnsi" w:hAnsiTheme="majorHAnsi" w:cstheme="majorHAnsi"/>
              </w:rPr>
              <w:br/>
            </w:r>
          </w:p>
          <w:p w14:paraId="39FF316B" w14:textId="26D9C4E6" w:rsidR="00C94BB4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COCC employees </w:t>
            </w:r>
            <w:r w:rsidR="00851D51" w:rsidRPr="00850BEA">
              <w:rPr>
                <w:rFonts w:asciiTheme="majorHAnsi" w:hAnsiTheme="majorHAnsi" w:cstheme="majorHAnsi"/>
              </w:rPr>
              <w:t>will</w:t>
            </w:r>
          </w:p>
          <w:p w14:paraId="57F60E26" w14:textId="067E1F2E" w:rsidR="00F66AD9" w:rsidRPr="00850BEA" w:rsidRDefault="00F66AD9" w:rsidP="008A4B4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demonstrate cultural awareness in their </w:t>
            </w:r>
            <w:r w:rsidR="00851D51" w:rsidRPr="00850BEA">
              <w:rPr>
                <w:rFonts w:asciiTheme="majorHAnsi" w:hAnsiTheme="majorHAnsi" w:cstheme="majorHAnsi"/>
              </w:rPr>
              <w:t xml:space="preserve">student </w:t>
            </w:r>
            <w:r w:rsidRPr="00850BEA">
              <w:rPr>
                <w:rFonts w:asciiTheme="majorHAnsi" w:hAnsiTheme="majorHAnsi" w:cstheme="majorHAnsi"/>
              </w:rPr>
              <w:t>interactions and in the workplace.</w:t>
            </w:r>
          </w:p>
          <w:p w14:paraId="33DA4D50" w14:textId="77777777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CB2417" w14:textId="09F84200" w:rsidR="00C94BB4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Provide </w:t>
            </w:r>
            <w:r w:rsidR="00185269" w:rsidRPr="00850BEA">
              <w:rPr>
                <w:rFonts w:asciiTheme="majorHAnsi" w:hAnsiTheme="majorHAnsi" w:cstheme="majorHAnsi"/>
              </w:rPr>
              <w:t xml:space="preserve">DEI </w:t>
            </w:r>
            <w:r w:rsidRPr="00850BEA">
              <w:rPr>
                <w:rFonts w:asciiTheme="majorHAnsi" w:hAnsiTheme="majorHAnsi" w:cstheme="majorHAnsi"/>
              </w:rPr>
              <w:t xml:space="preserve">workshops for students and COCC employees. </w:t>
            </w:r>
          </w:p>
          <w:p w14:paraId="6CDB0639" w14:textId="62A97B77" w:rsidR="00C94BB4" w:rsidRPr="003F07CE" w:rsidRDefault="00C94BB4" w:rsidP="003F07CE">
            <w:pPr>
              <w:rPr>
                <w:rFonts w:asciiTheme="majorHAnsi" w:hAnsiTheme="majorHAnsi" w:cstheme="majorHAnsi"/>
              </w:rPr>
            </w:pPr>
          </w:p>
          <w:p w14:paraId="31F40B03" w14:textId="56E2BED0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Assist faculty in creating inclusive curriculum. </w:t>
            </w:r>
          </w:p>
          <w:p w14:paraId="6486D02E" w14:textId="77777777" w:rsidR="00C94BB4" w:rsidRPr="00850BEA" w:rsidRDefault="00C94BB4" w:rsidP="008A4B4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7A574BED" w14:textId="7A3A92A7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Provide educational materials accessible through the ODI website. </w:t>
            </w:r>
          </w:p>
          <w:p w14:paraId="3FD73646" w14:textId="77777777" w:rsidR="00C94BB4" w:rsidRPr="00850BEA" w:rsidRDefault="00C94BB4" w:rsidP="008A4B4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0208BB23" w14:textId="60882F2C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Participate in student and employee orientation programs to bring awareness of the </w:t>
            </w:r>
            <w:r w:rsidR="00137D7D" w:rsidRPr="00850BEA">
              <w:rPr>
                <w:rFonts w:asciiTheme="majorHAnsi" w:hAnsiTheme="majorHAnsi" w:cstheme="majorHAnsi"/>
              </w:rPr>
              <w:t>College’s</w:t>
            </w:r>
            <w:r w:rsidRPr="00850BEA">
              <w:rPr>
                <w:rFonts w:asciiTheme="majorHAnsi" w:hAnsiTheme="majorHAnsi" w:cstheme="majorHAnsi"/>
              </w:rPr>
              <w:t xml:space="preserve"> commitment to the Princi</w:t>
            </w:r>
            <w:r w:rsidR="00C94BB4" w:rsidRPr="00850BEA">
              <w:rPr>
                <w:rFonts w:asciiTheme="majorHAnsi" w:hAnsiTheme="majorHAnsi" w:cstheme="majorHAnsi"/>
              </w:rPr>
              <w:t xml:space="preserve">ples of Community. </w:t>
            </w:r>
          </w:p>
          <w:p w14:paraId="066A7930" w14:textId="77777777" w:rsidR="00C94BB4" w:rsidRPr="00850BEA" w:rsidRDefault="00C94BB4" w:rsidP="008A4B4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58D4D31F" w14:textId="074E0381" w:rsidR="00F66AD9" w:rsidRPr="00850BEA" w:rsidRDefault="00F66AD9" w:rsidP="00B92104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637DA8" w14:textId="40C55875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 xml:space="preserve">Solicit quantitative </w:t>
            </w:r>
            <w:r w:rsidR="005D3408" w:rsidRPr="00850BEA">
              <w:rPr>
                <w:rFonts w:asciiTheme="majorHAnsi" w:hAnsiTheme="majorHAnsi" w:cstheme="majorHAnsi"/>
              </w:rPr>
              <w:t>and</w:t>
            </w:r>
            <w:r w:rsidRPr="00850BEA">
              <w:rPr>
                <w:rFonts w:asciiTheme="majorHAnsi" w:hAnsiTheme="majorHAnsi" w:cstheme="majorHAnsi"/>
              </w:rPr>
              <w:t xml:space="preserve"> qualitative surveys </w:t>
            </w:r>
            <w:r w:rsidR="005D3408" w:rsidRPr="00850BEA">
              <w:rPr>
                <w:rFonts w:asciiTheme="majorHAnsi" w:hAnsiTheme="majorHAnsi" w:cstheme="majorHAnsi"/>
              </w:rPr>
              <w:t>and</w:t>
            </w:r>
            <w:r w:rsidRPr="00850BEA">
              <w:rPr>
                <w:rFonts w:asciiTheme="majorHAnsi" w:hAnsiTheme="majorHAnsi" w:cstheme="majorHAnsi"/>
              </w:rPr>
              <w:t xml:space="preserve"> reporting that provide information on courses that include DEI as part of course outcomes</w:t>
            </w:r>
            <w:r w:rsidR="004816B4">
              <w:rPr>
                <w:rFonts w:asciiTheme="majorHAnsi" w:hAnsiTheme="majorHAnsi" w:cstheme="majorHAnsi"/>
              </w:rPr>
              <w:t xml:space="preserve"> including but limited to workshops and trainings</w:t>
            </w:r>
            <w:r w:rsidRPr="00850BEA">
              <w:rPr>
                <w:rFonts w:asciiTheme="majorHAnsi" w:hAnsiTheme="majorHAnsi" w:cstheme="majorHAnsi"/>
              </w:rPr>
              <w:t>.</w:t>
            </w:r>
          </w:p>
          <w:p w14:paraId="3CF34935" w14:textId="22D14CE0" w:rsidR="00C94BB4" w:rsidRPr="00850BEA" w:rsidRDefault="00C94BB4" w:rsidP="00B921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CC1BC5" w14:textId="63868AD1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Number of training workshops offered for COCC employees and students.</w:t>
            </w:r>
          </w:p>
          <w:p w14:paraId="7FEA1CB6" w14:textId="1E3872EA" w:rsidR="00C94BB4" w:rsidRPr="00850BEA" w:rsidRDefault="00C94BB4" w:rsidP="008A4B4A">
            <w:pPr>
              <w:pStyle w:val="ListParagraph"/>
              <w:ind w:left="360"/>
              <w:contextualSpacing w:val="0"/>
              <w:rPr>
                <w:rFonts w:asciiTheme="majorHAnsi" w:hAnsiTheme="majorHAnsi" w:cstheme="majorHAnsi"/>
              </w:rPr>
            </w:pPr>
          </w:p>
          <w:p w14:paraId="108F4930" w14:textId="77777777" w:rsidR="00F66AD9" w:rsidRPr="00850BEA" w:rsidRDefault="00F66AD9" w:rsidP="008A4B4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</w:rPr>
            </w:pPr>
            <w:r w:rsidRPr="00850BEA">
              <w:rPr>
                <w:rFonts w:asciiTheme="majorHAnsi" w:hAnsiTheme="majorHAnsi" w:cstheme="majorHAnsi"/>
              </w:rPr>
              <w:t>Assess workshop/training enrollment demographics to determine attendance.</w:t>
            </w:r>
          </w:p>
          <w:p w14:paraId="63F7826A" w14:textId="77777777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B43D07" w14:textId="77777777" w:rsidR="00F66AD9" w:rsidRPr="00850BEA" w:rsidRDefault="00F66AD9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F5132F8" w14:textId="7E699CAC" w:rsidR="00E1608B" w:rsidRPr="00850BEA" w:rsidRDefault="00E1608B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2BF55D0" w14:textId="2D701AC5" w:rsidR="00E1608B" w:rsidRDefault="00E1608B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0BFC62B" w14:textId="77777777" w:rsidR="004126B9" w:rsidRPr="00850BEA" w:rsidRDefault="004126B9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2330AA9" w14:textId="32422ADF" w:rsidR="003639A5" w:rsidRDefault="003639A5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2F738B0C" w14:textId="77777777" w:rsidR="000D70B5" w:rsidRPr="00850BEA" w:rsidRDefault="000D70B5" w:rsidP="008A4B4A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2798" w:type="dxa"/>
        <w:tblInd w:w="-113" w:type="dxa"/>
        <w:tblLook w:val="04A0" w:firstRow="1" w:lastRow="0" w:firstColumn="1" w:lastColumn="0" w:noHBand="0" w:noVBand="1"/>
      </w:tblPr>
      <w:tblGrid>
        <w:gridCol w:w="2425"/>
        <w:gridCol w:w="3263"/>
        <w:gridCol w:w="4140"/>
        <w:gridCol w:w="2970"/>
      </w:tblGrid>
      <w:tr w:rsidR="009259BB" w:rsidRPr="00850BEA" w14:paraId="7C117214" w14:textId="77777777" w:rsidTr="00850BEA">
        <w:trPr>
          <w:trHeight w:val="458"/>
        </w:trPr>
        <w:tc>
          <w:tcPr>
            <w:tcW w:w="12798" w:type="dxa"/>
            <w:gridSpan w:val="4"/>
          </w:tcPr>
          <w:p w14:paraId="56C91AAE" w14:textId="3B8859FB" w:rsidR="009259BB" w:rsidRPr="00850BEA" w:rsidRDefault="009259BB" w:rsidP="008A4B4A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lastRenderedPageBreak/>
              <w:t>Goal #5 Evaluation and Recognition</w:t>
            </w:r>
          </w:p>
        </w:tc>
      </w:tr>
      <w:tr w:rsidR="009259BB" w:rsidRPr="00850BEA" w14:paraId="388AE247" w14:textId="77777777" w:rsidTr="00780248">
        <w:tc>
          <w:tcPr>
            <w:tcW w:w="2425" w:type="dxa"/>
          </w:tcPr>
          <w:p w14:paraId="4452668C" w14:textId="77777777" w:rsidR="009259BB" w:rsidRPr="00850BEA" w:rsidRDefault="009259BB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Goal:</w:t>
            </w:r>
          </w:p>
        </w:tc>
        <w:tc>
          <w:tcPr>
            <w:tcW w:w="3263" w:type="dxa"/>
          </w:tcPr>
          <w:p w14:paraId="2834D750" w14:textId="77777777" w:rsidR="009259BB" w:rsidRPr="00850BEA" w:rsidRDefault="009259BB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Outcomes:</w:t>
            </w:r>
          </w:p>
        </w:tc>
        <w:tc>
          <w:tcPr>
            <w:tcW w:w="4140" w:type="dxa"/>
          </w:tcPr>
          <w:p w14:paraId="0E34D25C" w14:textId="77777777" w:rsidR="009259BB" w:rsidRPr="00850BEA" w:rsidRDefault="009259BB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Strategies:</w:t>
            </w:r>
          </w:p>
        </w:tc>
        <w:tc>
          <w:tcPr>
            <w:tcW w:w="2970" w:type="dxa"/>
          </w:tcPr>
          <w:p w14:paraId="1B76D30A" w14:textId="77777777" w:rsidR="009259BB" w:rsidRPr="00850BEA" w:rsidRDefault="009259BB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Measurement Tools:</w:t>
            </w:r>
          </w:p>
        </w:tc>
      </w:tr>
      <w:tr w:rsidR="009259BB" w:rsidRPr="00850BEA" w14:paraId="7E2DE6B8" w14:textId="77777777" w:rsidTr="00780248">
        <w:tc>
          <w:tcPr>
            <w:tcW w:w="2425" w:type="dxa"/>
          </w:tcPr>
          <w:p w14:paraId="78BF8EF0" w14:textId="0CF4FCF1" w:rsidR="009259BB" w:rsidRPr="00850BEA" w:rsidRDefault="0071565F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Incorporate </w:t>
            </w:r>
            <w:r w:rsidR="008F00EF">
              <w:rPr>
                <w:rFonts w:asciiTheme="majorHAnsi" w:hAnsiTheme="majorHAnsi" w:cstheme="majorHAnsi"/>
                <w:sz w:val="24"/>
                <w:szCs w:val="24"/>
              </w:rPr>
              <w:t xml:space="preserve">DEI </w:t>
            </w: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into College </w:t>
            </w:r>
            <w:r w:rsidR="009259BB" w:rsidRPr="00850BEA">
              <w:rPr>
                <w:rFonts w:asciiTheme="majorHAnsi" w:hAnsiTheme="majorHAnsi" w:cstheme="majorHAnsi"/>
                <w:sz w:val="24"/>
                <w:szCs w:val="24"/>
              </w:rPr>
              <w:t>recognition</w:t>
            </w:r>
            <w:r w:rsidRPr="00850BE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9259BB" w:rsidRPr="00850BEA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4816B4">
              <w:rPr>
                <w:rFonts w:asciiTheme="majorHAnsi" w:hAnsiTheme="majorHAnsi" w:cstheme="majorHAnsi"/>
                <w:sz w:val="24"/>
                <w:szCs w:val="24"/>
              </w:rPr>
              <w:t xml:space="preserve">department recognitions, </w:t>
            </w:r>
            <w:r w:rsidR="009259BB" w:rsidRPr="00850BEA">
              <w:rPr>
                <w:rFonts w:asciiTheme="majorHAnsi" w:hAnsiTheme="majorHAnsi" w:cstheme="majorHAnsi"/>
                <w:sz w:val="24"/>
                <w:szCs w:val="24"/>
              </w:rPr>
              <w:t>student and employee awards, and performance evaluations.</w:t>
            </w:r>
          </w:p>
          <w:p w14:paraId="67DB843F" w14:textId="77777777" w:rsidR="009259BB" w:rsidRPr="00850BEA" w:rsidRDefault="009259BB" w:rsidP="008A4B4A">
            <w:pPr>
              <w:rPr>
                <w:rFonts w:asciiTheme="majorHAnsi" w:eastAsia="Calibri" w:hAnsiTheme="majorHAnsi" w:cstheme="majorHAnsi"/>
                <w:color w:val="C00000"/>
                <w:sz w:val="24"/>
                <w:szCs w:val="24"/>
              </w:rPr>
            </w:pPr>
          </w:p>
          <w:p w14:paraId="6B6D56DA" w14:textId="77777777" w:rsidR="009259BB" w:rsidRPr="00850BEA" w:rsidRDefault="009259BB" w:rsidP="008A4B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3" w:type="dxa"/>
          </w:tcPr>
          <w:p w14:paraId="79414FB4" w14:textId="6A1EFE95" w:rsidR="009259BB" w:rsidRPr="00850BEA" w:rsidRDefault="009259BB" w:rsidP="008A4B4A">
            <w:pPr>
              <w:pStyle w:val="ListParagraph"/>
              <w:numPr>
                <w:ilvl w:val="0"/>
                <w:numId w:val="4"/>
              </w:numPr>
              <w:ind w:left="272" w:hanging="27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Students and COCC employees </w:t>
            </w:r>
            <w:r w:rsidR="00D001B0" w:rsidRPr="00850BEA">
              <w:rPr>
                <w:rFonts w:asciiTheme="majorHAnsi" w:hAnsiTheme="majorHAnsi" w:cstheme="majorHAnsi"/>
                <w:color w:val="000000" w:themeColor="text1"/>
              </w:rPr>
              <w:t xml:space="preserve">will 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feel recognized for their contributions to the </w:t>
            </w:r>
            <w:r w:rsidR="00D001B0" w:rsidRPr="00850BEA">
              <w:rPr>
                <w:rFonts w:asciiTheme="majorHAnsi" w:hAnsiTheme="majorHAnsi" w:cstheme="majorHAnsi"/>
                <w:color w:val="000000" w:themeColor="text1"/>
              </w:rPr>
              <w:t>College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Diversity Plan and the Principles of Community.</w:t>
            </w:r>
          </w:p>
          <w:p w14:paraId="599BA686" w14:textId="77777777" w:rsidR="009259BB" w:rsidRPr="00850BEA" w:rsidRDefault="009259BB" w:rsidP="008A4B4A">
            <w:pPr>
              <w:pStyle w:val="ListParagraph"/>
              <w:ind w:left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503F84" w14:textId="27BAB2F8" w:rsidR="009259BB" w:rsidRPr="00850BEA" w:rsidRDefault="009259BB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>COCC employees</w:t>
            </w:r>
            <w:r w:rsidR="00D001B0" w:rsidRPr="00850BEA">
              <w:rPr>
                <w:rFonts w:asciiTheme="majorHAnsi" w:hAnsiTheme="majorHAnsi" w:cstheme="majorHAnsi"/>
                <w:color w:val="000000" w:themeColor="text1"/>
              </w:rPr>
              <w:t xml:space="preserve"> will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feel encouraged and supported to participate in </w:t>
            </w:r>
            <w:r w:rsidR="003F07CE">
              <w:rPr>
                <w:rFonts w:asciiTheme="majorHAnsi" w:hAnsiTheme="majorHAnsi" w:cstheme="majorHAnsi"/>
                <w:color w:val="000000" w:themeColor="text1"/>
              </w:rPr>
              <w:t>DEI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training opportunities (i.e.</w:t>
            </w:r>
            <w:r w:rsidR="00137D7D" w:rsidRPr="00850BEA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professional development funds, workload adjustments to accommodate training)</w:t>
            </w:r>
            <w:r w:rsidR="00137D7D" w:rsidRPr="00850BEA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78A186D0" w14:textId="4A02FFE5" w:rsidR="009259BB" w:rsidRPr="00850BEA" w:rsidRDefault="009259BB" w:rsidP="00B92104">
            <w:pPr>
              <w:pStyle w:val="ListParagraph"/>
              <w:ind w:left="252"/>
              <w:contextualSpacing w:val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  <w:tc>
          <w:tcPr>
            <w:tcW w:w="4140" w:type="dxa"/>
          </w:tcPr>
          <w:p w14:paraId="72C60B9B" w14:textId="6FF5C2B5" w:rsidR="009259BB" w:rsidRPr="00850BEA" w:rsidRDefault="009259BB" w:rsidP="008F00EF">
            <w:pPr>
              <w:pStyle w:val="ListParagraph"/>
              <w:numPr>
                <w:ilvl w:val="0"/>
                <w:numId w:val="4"/>
              </w:numPr>
              <w:ind w:left="256" w:hanging="256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Work with </w:t>
            </w:r>
            <w:r w:rsidR="00185269" w:rsidRPr="00850BEA">
              <w:rPr>
                <w:rFonts w:asciiTheme="majorHAnsi" w:hAnsiTheme="majorHAnsi" w:cstheme="majorHAnsi"/>
                <w:color w:val="000000" w:themeColor="text1"/>
              </w:rPr>
              <w:t xml:space="preserve">Human Resources 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to add criteria on all performance appraisals and </w:t>
            </w:r>
            <w:r w:rsidR="003806CF" w:rsidRPr="00850BEA">
              <w:rPr>
                <w:rFonts w:asciiTheme="majorHAnsi" w:hAnsiTheme="majorHAnsi" w:cstheme="majorHAnsi"/>
                <w:color w:val="000000" w:themeColor="text1"/>
              </w:rPr>
              <w:t>promotions process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materials that addresses respect for diversity, cultural responsiveness, and multicultural education. 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35D7742E" w14:textId="4B3E8269" w:rsidR="009259BB" w:rsidRPr="00850BEA" w:rsidRDefault="009259BB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>Work with supervisors to accommodate and support employees’ requests to attend diversity</w:t>
            </w:r>
            <w:r w:rsidR="00E44692" w:rsidRPr="00850BEA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related training and/or </w:t>
            </w:r>
            <w:r w:rsidR="00D001B0" w:rsidRPr="00850BEA">
              <w:rPr>
                <w:rFonts w:asciiTheme="majorHAnsi" w:hAnsiTheme="majorHAnsi" w:cstheme="majorHAnsi"/>
                <w:color w:val="000000" w:themeColor="text1"/>
              </w:rPr>
              <w:t>College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programs. </w:t>
            </w:r>
          </w:p>
          <w:p w14:paraId="7760C950" w14:textId="77777777" w:rsidR="003806CF" w:rsidRPr="00850BEA" w:rsidRDefault="003806CF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2B836E4" w14:textId="04278FA6" w:rsidR="003806CF" w:rsidRPr="00850BEA" w:rsidRDefault="003806CF" w:rsidP="008A4B4A">
            <w:pPr>
              <w:pStyle w:val="ListParagraph"/>
              <w:numPr>
                <w:ilvl w:val="0"/>
                <w:numId w:val="4"/>
              </w:numPr>
              <w:ind w:left="271" w:hanging="271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eastAsia="Calibri" w:hAnsiTheme="majorHAnsi" w:cstheme="majorHAnsi"/>
                <w:color w:val="000000" w:themeColor="text1"/>
              </w:rPr>
              <w:t>Recognize participation through the Diversity Education Award and the Diversity Achievement Award programs.</w:t>
            </w:r>
          </w:p>
        </w:tc>
        <w:tc>
          <w:tcPr>
            <w:tcW w:w="2970" w:type="dxa"/>
          </w:tcPr>
          <w:p w14:paraId="0F0BF18F" w14:textId="665BCDBB" w:rsidR="009259BB" w:rsidRPr="00850BEA" w:rsidRDefault="008A4B4A" w:rsidP="008A4B4A">
            <w:pPr>
              <w:pStyle w:val="ListParagraph"/>
              <w:numPr>
                <w:ilvl w:val="0"/>
                <w:numId w:val="4"/>
              </w:numPr>
              <w:ind w:left="247" w:hanging="247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Student </w:t>
            </w:r>
            <w:r w:rsidR="009259BB" w:rsidRPr="00850BEA">
              <w:rPr>
                <w:rFonts w:asciiTheme="majorHAnsi" w:hAnsiTheme="majorHAnsi" w:cstheme="majorHAnsi"/>
                <w:color w:val="000000" w:themeColor="text1"/>
              </w:rPr>
              <w:t>College Climate Survey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9C185BB" w14:textId="13CC456D" w:rsidR="009259BB" w:rsidRPr="00850BEA" w:rsidRDefault="009259BB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1034418F" w14:textId="536D5967" w:rsidR="009259BB" w:rsidRPr="00850BEA" w:rsidRDefault="009259BB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>Performance criteria addressing respect for diversity, cultural responsiveness, and multicultural education activities exist</w:t>
            </w:r>
            <w:r w:rsidR="00E44692" w:rsidRPr="00850BEA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 xml:space="preserve"> on performance appraisals and </w:t>
            </w:r>
            <w:r w:rsidR="00185269" w:rsidRPr="00850BEA">
              <w:rPr>
                <w:rFonts w:asciiTheme="majorHAnsi" w:hAnsiTheme="majorHAnsi" w:cstheme="majorHAnsi"/>
                <w:color w:val="000000" w:themeColor="text1"/>
              </w:rPr>
              <w:t xml:space="preserve">promotions process </w:t>
            </w:r>
            <w:r w:rsidRPr="00850BEA">
              <w:rPr>
                <w:rFonts w:asciiTheme="majorHAnsi" w:hAnsiTheme="majorHAnsi" w:cstheme="majorHAnsi"/>
                <w:color w:val="000000" w:themeColor="text1"/>
              </w:rPr>
              <w:t>materials.</w:t>
            </w:r>
          </w:p>
          <w:p w14:paraId="3FC3D0B5" w14:textId="77777777" w:rsidR="009259BB" w:rsidRPr="00850BEA" w:rsidRDefault="009259BB" w:rsidP="008A4B4A">
            <w:pPr>
              <w:pStyle w:val="ListParagraph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2A8DB7" w14:textId="0BC834B0" w:rsidR="009259BB" w:rsidRPr="00850BEA" w:rsidRDefault="008A4B4A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>Employee participation in the Diversity Education Award</w:t>
            </w:r>
            <w:r w:rsidR="009259BB" w:rsidRPr="00850BEA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398B76C7" w14:textId="5D354857" w:rsidR="009259BB" w:rsidRPr="00850BEA" w:rsidRDefault="00185269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hAnsiTheme="majorHAnsi" w:cstheme="majorHAnsi"/>
                <w:color w:val="000000" w:themeColor="text1"/>
              </w:rPr>
              <w:t>P</w:t>
            </w:r>
            <w:r w:rsidR="00AB2173" w:rsidRPr="00850BEA">
              <w:rPr>
                <w:rFonts w:asciiTheme="majorHAnsi" w:hAnsiTheme="majorHAnsi" w:cstheme="majorHAnsi"/>
                <w:color w:val="000000" w:themeColor="text1"/>
              </w:rPr>
              <w:t xml:space="preserve">articipation </w:t>
            </w:r>
            <w:r w:rsidR="009259BB" w:rsidRPr="00850BEA">
              <w:rPr>
                <w:rFonts w:asciiTheme="majorHAnsi" w:hAnsiTheme="majorHAnsi" w:cstheme="majorHAnsi"/>
                <w:color w:val="000000" w:themeColor="text1"/>
              </w:rPr>
              <w:t>records</w:t>
            </w:r>
            <w:r w:rsidR="00E44692" w:rsidRPr="00850BEA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="009259BB" w:rsidRPr="00850BE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259BB" w:rsidRPr="00850BEA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0FD009C9" w14:textId="5706B6E7" w:rsidR="000F57BC" w:rsidRPr="00850BEA" w:rsidRDefault="008A4B4A" w:rsidP="008A4B4A">
            <w:pPr>
              <w:pStyle w:val="ListParagraph"/>
              <w:numPr>
                <w:ilvl w:val="0"/>
                <w:numId w:val="4"/>
              </w:numPr>
              <w:ind w:left="252" w:hanging="252"/>
              <w:contextualSpacing w:val="0"/>
              <w:rPr>
                <w:rFonts w:asciiTheme="majorHAnsi" w:hAnsiTheme="majorHAnsi" w:cstheme="majorHAnsi"/>
                <w:color w:val="000000" w:themeColor="text1"/>
              </w:rPr>
            </w:pPr>
            <w:r w:rsidRPr="00850BEA">
              <w:rPr>
                <w:rFonts w:asciiTheme="majorHAnsi" w:eastAsia="Calibri" w:hAnsiTheme="majorHAnsi" w:cstheme="majorHAnsi"/>
                <w:color w:val="000000" w:themeColor="text1"/>
              </w:rPr>
              <w:t>Training evaluations</w:t>
            </w:r>
            <w:r w:rsidR="00E44692" w:rsidRPr="00850BEA">
              <w:rPr>
                <w:rFonts w:asciiTheme="majorHAnsi" w:eastAsia="Calibri" w:hAnsiTheme="majorHAnsi" w:cstheme="majorHAnsi"/>
                <w:color w:val="000000" w:themeColor="text1"/>
              </w:rPr>
              <w:t>.</w:t>
            </w:r>
          </w:p>
          <w:p w14:paraId="36588D34" w14:textId="7F4D88DB" w:rsidR="000F57BC" w:rsidRPr="00850BEA" w:rsidRDefault="000F57BC" w:rsidP="008A4B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41F91116" w14:textId="77777777" w:rsidR="009259BB" w:rsidRPr="003639A5" w:rsidRDefault="009259BB" w:rsidP="008A4B4A">
      <w:pPr>
        <w:spacing w:line="240" w:lineRule="auto"/>
        <w:rPr>
          <w:rFonts w:asciiTheme="minorHAnsi" w:hAnsiTheme="minorHAnsi"/>
        </w:rPr>
      </w:pPr>
    </w:p>
    <w:p w14:paraId="5F25B896" w14:textId="77777777" w:rsidR="000F57BC" w:rsidRDefault="000F57BC" w:rsidP="008A4B4A">
      <w:pPr>
        <w:spacing w:line="240" w:lineRule="auto"/>
        <w:rPr>
          <w:rFonts w:asciiTheme="minorHAnsi" w:hAnsiTheme="minorHAnsi"/>
        </w:rPr>
      </w:pPr>
    </w:p>
    <w:p w14:paraId="03498C4F" w14:textId="77777777" w:rsidR="009259BB" w:rsidRPr="003639A5" w:rsidRDefault="009259BB" w:rsidP="008A4B4A">
      <w:pPr>
        <w:spacing w:line="240" w:lineRule="auto"/>
        <w:rPr>
          <w:rFonts w:asciiTheme="minorHAnsi" w:hAnsiTheme="minorHAnsi"/>
        </w:rPr>
      </w:pPr>
    </w:p>
    <w:bookmarkEnd w:id="0"/>
    <w:p w14:paraId="32186608" w14:textId="6B10CEEE" w:rsidR="00497B72" w:rsidRPr="003639A5" w:rsidRDefault="00497B72" w:rsidP="008A4B4A">
      <w:pPr>
        <w:spacing w:line="240" w:lineRule="auto"/>
        <w:rPr>
          <w:rFonts w:asciiTheme="minorHAnsi" w:hAnsiTheme="minorHAnsi"/>
        </w:rPr>
      </w:pPr>
    </w:p>
    <w:sectPr w:rsidR="00497B72" w:rsidRPr="003639A5" w:rsidSect="0071565F"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1EA4" w16cex:dateUtc="2022-05-17T20:16:00Z"/>
  <w16cex:commentExtensible w16cex:durableId="262E222E" w16cex:dateUtc="2022-05-17T20:31:00Z"/>
  <w16cex:commentExtensible w16cex:durableId="262E2206" w16cex:dateUtc="2022-05-17T20:30:00Z"/>
  <w16cex:commentExtensible w16cex:durableId="262E22AD" w16cex:dateUtc="2022-05-17T20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B37DA" w14:textId="77777777" w:rsidR="009B43AC" w:rsidRDefault="009B43AC">
      <w:pPr>
        <w:spacing w:line="240" w:lineRule="auto"/>
      </w:pPr>
      <w:r>
        <w:separator/>
      </w:r>
    </w:p>
  </w:endnote>
  <w:endnote w:type="continuationSeparator" w:id="0">
    <w:p w14:paraId="457380BB" w14:textId="77777777" w:rsidR="009B43AC" w:rsidRDefault="009B4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1A237" w14:textId="77777777" w:rsidR="009B43AC" w:rsidRDefault="009B43AC">
      <w:pPr>
        <w:spacing w:line="240" w:lineRule="auto"/>
      </w:pPr>
      <w:r>
        <w:separator/>
      </w:r>
    </w:p>
  </w:footnote>
  <w:footnote w:type="continuationSeparator" w:id="0">
    <w:p w14:paraId="77A6C974" w14:textId="77777777" w:rsidR="009B43AC" w:rsidRDefault="009B4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87760" w14:textId="3D4517BB" w:rsidR="00C07EF6" w:rsidRDefault="00C07EF6">
    <w:pPr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04D6"/>
    <w:multiLevelType w:val="hybridMultilevel"/>
    <w:tmpl w:val="315852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80E65E64">
      <w:numFmt w:val="bullet"/>
      <w:lvlText w:val="·"/>
      <w:lvlJc w:val="left"/>
      <w:pPr>
        <w:ind w:left="1080" w:hanging="360"/>
      </w:pPr>
      <w:rPr>
        <w:rFonts w:ascii="Cambria" w:eastAsia="Arial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F3B9D"/>
    <w:multiLevelType w:val="hybridMultilevel"/>
    <w:tmpl w:val="80DE3C40"/>
    <w:lvl w:ilvl="0" w:tplc="FFFFFFFF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color w:val="000000"/>
      </w:rPr>
    </w:lvl>
    <w:lvl w:ilvl="1" w:tplc="649E61FA">
      <w:numFmt w:val="bullet"/>
      <w:lvlText w:val=""/>
      <w:lvlJc w:val="left"/>
      <w:pPr>
        <w:ind w:left="1700" w:hanging="360"/>
      </w:pPr>
      <w:rPr>
        <w:rFonts w:ascii="Symbol" w:eastAsiaTheme="minorHAnsi" w:hAnsi="Symbo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2FBC0A42"/>
    <w:multiLevelType w:val="multilevel"/>
    <w:tmpl w:val="6B5AF97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C03BF7"/>
    <w:multiLevelType w:val="multilevel"/>
    <w:tmpl w:val="7B141DB6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7041C2"/>
    <w:multiLevelType w:val="hybridMultilevel"/>
    <w:tmpl w:val="FA32D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4D05DD"/>
    <w:multiLevelType w:val="multilevel"/>
    <w:tmpl w:val="F0243A3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B73901"/>
    <w:multiLevelType w:val="hybridMultilevel"/>
    <w:tmpl w:val="1B6E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1600E"/>
    <w:multiLevelType w:val="hybridMultilevel"/>
    <w:tmpl w:val="8E74928A"/>
    <w:lvl w:ilvl="0" w:tplc="66344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8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9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9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2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C0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4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E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MjA3sDQ2tjQ3tzBU0lEKTi0uzszPAykwrAUAsgoMISwAAAA="/>
  </w:docVars>
  <w:rsids>
    <w:rsidRoot w:val="00497B72"/>
    <w:rsid w:val="000C1624"/>
    <w:rsid w:val="000D70B5"/>
    <w:rsid w:val="000F57BC"/>
    <w:rsid w:val="00112749"/>
    <w:rsid w:val="001152A6"/>
    <w:rsid w:val="00137D7D"/>
    <w:rsid w:val="00154871"/>
    <w:rsid w:val="001678B2"/>
    <w:rsid w:val="00185269"/>
    <w:rsid w:val="002C4FC9"/>
    <w:rsid w:val="002D6724"/>
    <w:rsid w:val="003553D4"/>
    <w:rsid w:val="003639A5"/>
    <w:rsid w:val="003806CF"/>
    <w:rsid w:val="003E44BC"/>
    <w:rsid w:val="003F07CE"/>
    <w:rsid w:val="004126B9"/>
    <w:rsid w:val="004408A9"/>
    <w:rsid w:val="004816B4"/>
    <w:rsid w:val="004870DD"/>
    <w:rsid w:val="00497B72"/>
    <w:rsid w:val="004E2295"/>
    <w:rsid w:val="004F7F42"/>
    <w:rsid w:val="005720B8"/>
    <w:rsid w:val="005D181A"/>
    <w:rsid w:val="005D3408"/>
    <w:rsid w:val="00611967"/>
    <w:rsid w:val="0062587D"/>
    <w:rsid w:val="00654D5C"/>
    <w:rsid w:val="006773FD"/>
    <w:rsid w:val="006856D5"/>
    <w:rsid w:val="006937BE"/>
    <w:rsid w:val="00707ABF"/>
    <w:rsid w:val="0071565F"/>
    <w:rsid w:val="00717178"/>
    <w:rsid w:val="007529D5"/>
    <w:rsid w:val="00766DF6"/>
    <w:rsid w:val="00780248"/>
    <w:rsid w:val="00793513"/>
    <w:rsid w:val="007F337F"/>
    <w:rsid w:val="00810961"/>
    <w:rsid w:val="00847424"/>
    <w:rsid w:val="00850BEA"/>
    <w:rsid w:val="00851D51"/>
    <w:rsid w:val="008A4B4A"/>
    <w:rsid w:val="008A7F6C"/>
    <w:rsid w:val="008B12D0"/>
    <w:rsid w:val="008F00EF"/>
    <w:rsid w:val="00917236"/>
    <w:rsid w:val="009259BB"/>
    <w:rsid w:val="00940E20"/>
    <w:rsid w:val="0094578A"/>
    <w:rsid w:val="00977BDF"/>
    <w:rsid w:val="00984830"/>
    <w:rsid w:val="009B43AC"/>
    <w:rsid w:val="00AB2173"/>
    <w:rsid w:val="00AD0AD9"/>
    <w:rsid w:val="00AF331D"/>
    <w:rsid w:val="00B83EF9"/>
    <w:rsid w:val="00B92104"/>
    <w:rsid w:val="00BD17E3"/>
    <w:rsid w:val="00C01106"/>
    <w:rsid w:val="00C07EF6"/>
    <w:rsid w:val="00C14EE3"/>
    <w:rsid w:val="00C537BA"/>
    <w:rsid w:val="00C643D9"/>
    <w:rsid w:val="00C91212"/>
    <w:rsid w:val="00C94BB4"/>
    <w:rsid w:val="00D001B0"/>
    <w:rsid w:val="00D41897"/>
    <w:rsid w:val="00D5001D"/>
    <w:rsid w:val="00D64753"/>
    <w:rsid w:val="00E068AA"/>
    <w:rsid w:val="00E14821"/>
    <w:rsid w:val="00E1608B"/>
    <w:rsid w:val="00E44692"/>
    <w:rsid w:val="00E81DD4"/>
    <w:rsid w:val="00E974A9"/>
    <w:rsid w:val="00F15812"/>
    <w:rsid w:val="00F22815"/>
    <w:rsid w:val="00F477A3"/>
    <w:rsid w:val="00F47B17"/>
    <w:rsid w:val="00F66AD9"/>
    <w:rsid w:val="00FA1D83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AA0DA"/>
  <w15:docId w15:val="{EA51653B-E223-4962-8BE2-CFA35994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A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D9"/>
  </w:style>
  <w:style w:type="paragraph" w:styleId="Footer">
    <w:name w:val="footer"/>
    <w:basedOn w:val="Normal"/>
    <w:link w:val="FooterChar"/>
    <w:uiPriority w:val="99"/>
    <w:unhideWhenUsed/>
    <w:rsid w:val="00F66A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D9"/>
  </w:style>
  <w:style w:type="table" w:styleId="TableGrid">
    <w:name w:val="Table Grid"/>
    <w:basedOn w:val="TableNormal"/>
    <w:uiPriority w:val="39"/>
    <w:rsid w:val="00F66A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9B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40E20"/>
    <w:pPr>
      <w:spacing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D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1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D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D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0D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41927841BE548A11FB8F2ACE97798" ma:contentTypeVersion="7" ma:contentTypeDescription="Create a new document." ma:contentTypeScope="" ma:versionID="6df9c5e5a8a7511ca8fb57d323e03809">
  <xsd:schema xmlns:xsd="http://www.w3.org/2001/XMLSchema" xmlns:xs="http://www.w3.org/2001/XMLSchema" xmlns:p="http://schemas.microsoft.com/office/2006/metadata/properties" xmlns:ns3="4770299b-f2ff-4974-9faf-840f96e0850b" xmlns:ns4="649df607-38b6-4496-ac7f-1c50600dcc7b" targetNamespace="http://schemas.microsoft.com/office/2006/metadata/properties" ma:root="true" ma:fieldsID="f70deec6b094bf82a0d33c085a542a69" ns3:_="" ns4:_="">
    <xsd:import namespace="4770299b-f2ff-4974-9faf-840f96e0850b"/>
    <xsd:import namespace="649df607-38b6-4496-ac7f-1c50600dc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299b-f2ff-4974-9faf-840f96e0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f607-38b6-4496-ac7f-1c50600dc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587E-4581-4714-8A72-29986512E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0299b-f2ff-4974-9faf-840f96e0850b"/>
    <ds:schemaRef ds:uri="649df607-38b6-4496-ac7f-1c50600dc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0C10B-5700-429F-AEA5-A66E260BC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81FE7-BBE9-40F8-B443-4EDD9C346C90}">
  <ds:schemaRefs>
    <ds:schemaRef ds:uri="http://purl.org/dc/elements/1.1/"/>
    <ds:schemaRef ds:uri="http://purl.org/dc/dcmitype/"/>
    <ds:schemaRef ds:uri="http://schemas.microsoft.com/office/2006/documentManagement/types"/>
    <ds:schemaRef ds:uri="649df607-38b6-4496-ac7f-1c50600dcc7b"/>
    <ds:schemaRef ds:uri="http://schemas.microsoft.com/office/2006/metadata/properties"/>
    <ds:schemaRef ds:uri="4770299b-f2ff-4974-9faf-840f96e08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421DDF-2236-44A9-9208-D7AC5432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1086</Words>
  <Characters>6193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Moore</dc:creator>
  <cp:lastModifiedBy>Christy Walker</cp:lastModifiedBy>
  <cp:revision>2</cp:revision>
  <cp:lastPrinted>2022-07-15T18:02:00Z</cp:lastPrinted>
  <dcterms:created xsi:type="dcterms:W3CDTF">2022-07-15T18:46:00Z</dcterms:created>
  <dcterms:modified xsi:type="dcterms:W3CDTF">2022-07-15T18:46:00Z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0x01010085B41927841BE548A11FB8F2ACE97798</vt:lpwstr>
  </property>
</Properties>
</file>