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90"/>
        <w:gridCol w:w="2590"/>
        <w:gridCol w:w="2590"/>
        <w:gridCol w:w="2590"/>
        <w:gridCol w:w="2590"/>
      </w:tblGrid>
      <w:tr w:rsidR="000B4987" w14:paraId="5E36A48D" w14:textId="77777777" w:rsidTr="003C1A66">
        <w:trPr>
          <w:trHeight w:val="694"/>
        </w:trPr>
        <w:tc>
          <w:tcPr>
            <w:tcW w:w="12950" w:type="dxa"/>
            <w:gridSpan w:val="5"/>
            <w:shd w:val="clear" w:color="auto" w:fill="D9E2F3" w:themeFill="accent1" w:themeFillTint="33"/>
          </w:tcPr>
          <w:p w14:paraId="3AD0CF45" w14:textId="77777777" w:rsidR="000B4987" w:rsidRDefault="000B4987" w:rsidP="003C1A6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Advancement Division Plan: 2024 +</w:t>
            </w:r>
          </w:p>
          <w:p w14:paraId="77AC542B" w14:textId="77777777" w:rsidR="000B4987" w:rsidRPr="00420188" w:rsidRDefault="000B4987" w:rsidP="003C1A66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2925E81D" w14:textId="77777777" w:rsidR="000B4987" w:rsidRDefault="000B4987" w:rsidP="003C1A6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Advancement </w:t>
            </w:r>
            <w:r w:rsidRPr="003F4C08">
              <w:rPr>
                <w:b/>
                <w:bCs/>
                <w:sz w:val="28"/>
                <w:szCs w:val="28"/>
              </w:rPr>
              <w:t xml:space="preserve">Division Mission: </w:t>
            </w:r>
            <w:r>
              <w:rPr>
                <w:b/>
                <w:bCs/>
                <w:sz w:val="28"/>
                <w:szCs w:val="28"/>
              </w:rPr>
              <w:t xml:space="preserve">The Office of College Advancement </w:t>
            </w:r>
            <w:r w:rsidRPr="00145240">
              <w:rPr>
                <w:b/>
                <w:bCs/>
                <w:sz w:val="28"/>
                <w:szCs w:val="28"/>
              </w:rPr>
              <w:t>foster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145240">
              <w:rPr>
                <w:b/>
                <w:bCs/>
                <w:sz w:val="28"/>
                <w:szCs w:val="28"/>
              </w:rPr>
              <w:t xml:space="preserve"> relationships, secure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145240">
              <w:rPr>
                <w:b/>
                <w:bCs/>
                <w:sz w:val="28"/>
                <w:szCs w:val="28"/>
              </w:rPr>
              <w:t xml:space="preserve"> resources,</w:t>
            </w:r>
            <w:r>
              <w:rPr>
                <w:b/>
                <w:bCs/>
                <w:sz w:val="28"/>
                <w:szCs w:val="28"/>
              </w:rPr>
              <w:t xml:space="preserve"> advocates for the college’s vision and goals</w:t>
            </w:r>
            <w:r w:rsidRPr="00145240">
              <w:rPr>
                <w:b/>
                <w:bCs/>
                <w:sz w:val="28"/>
                <w:szCs w:val="28"/>
              </w:rPr>
              <w:t xml:space="preserve"> and strengthen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145240">
              <w:rPr>
                <w:b/>
                <w:bCs/>
                <w:sz w:val="28"/>
                <w:szCs w:val="28"/>
              </w:rPr>
              <w:t xml:space="preserve"> community ties through strategic partnerships, philanthropy</w:t>
            </w:r>
            <w:r>
              <w:rPr>
                <w:b/>
                <w:bCs/>
                <w:sz w:val="28"/>
                <w:szCs w:val="28"/>
              </w:rPr>
              <w:t xml:space="preserve"> and grants</w:t>
            </w:r>
            <w:r w:rsidRPr="00145240">
              <w:rPr>
                <w:b/>
                <w:bCs/>
                <w:sz w:val="28"/>
                <w:szCs w:val="28"/>
              </w:rPr>
              <w:t>,</w:t>
            </w:r>
            <w:r>
              <w:rPr>
                <w:b/>
                <w:bCs/>
                <w:sz w:val="28"/>
                <w:szCs w:val="28"/>
              </w:rPr>
              <w:t xml:space="preserve"> brand awareness, storytelling and outreach.</w:t>
            </w:r>
          </w:p>
          <w:p w14:paraId="2E4668FE" w14:textId="77777777" w:rsidR="000B4987" w:rsidRPr="00420188" w:rsidRDefault="000B4987" w:rsidP="003C1A6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B4987" w14:paraId="2D1FF06F" w14:textId="77777777" w:rsidTr="003C1A66">
        <w:tc>
          <w:tcPr>
            <w:tcW w:w="12950" w:type="dxa"/>
            <w:gridSpan w:val="5"/>
            <w:shd w:val="clear" w:color="auto" w:fill="D9E2F3" w:themeFill="accent1" w:themeFillTint="33"/>
          </w:tcPr>
          <w:p w14:paraId="71538B9D" w14:textId="77777777" w:rsidR="000B4987" w:rsidRPr="00420188" w:rsidRDefault="000B4987" w:rsidP="003C1A6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COCC </w:t>
            </w:r>
            <w:r w:rsidRPr="00420188">
              <w:rPr>
                <w:b/>
                <w:bCs/>
                <w:sz w:val="28"/>
                <w:szCs w:val="28"/>
              </w:rPr>
              <w:t>Strategic Goals</w:t>
            </w:r>
            <w:r>
              <w:rPr>
                <w:b/>
                <w:bCs/>
                <w:sz w:val="28"/>
                <w:szCs w:val="28"/>
              </w:rPr>
              <w:t xml:space="preserve"> and Supporting Advancement Projects</w:t>
            </w:r>
          </w:p>
        </w:tc>
      </w:tr>
      <w:tr w:rsidR="000B4987" w14:paraId="0A1FC756" w14:textId="77777777" w:rsidTr="003C1A66">
        <w:tc>
          <w:tcPr>
            <w:tcW w:w="2590" w:type="dxa"/>
            <w:shd w:val="clear" w:color="auto" w:fill="FBE4D5" w:themeFill="accent2" w:themeFillTint="33"/>
          </w:tcPr>
          <w:p w14:paraId="3D57A977" w14:textId="77777777" w:rsidR="000B4987" w:rsidRPr="00420188" w:rsidRDefault="000B4987" w:rsidP="003C1A66">
            <w:pPr>
              <w:jc w:val="center"/>
              <w:rPr>
                <w:b/>
                <w:bCs/>
                <w:sz w:val="28"/>
                <w:szCs w:val="28"/>
              </w:rPr>
            </w:pPr>
            <w:r w:rsidRPr="00420188">
              <w:rPr>
                <w:b/>
                <w:bCs/>
                <w:sz w:val="28"/>
                <w:szCs w:val="28"/>
              </w:rPr>
              <w:t>Student-Ready</w:t>
            </w:r>
          </w:p>
        </w:tc>
        <w:tc>
          <w:tcPr>
            <w:tcW w:w="2590" w:type="dxa"/>
            <w:shd w:val="clear" w:color="auto" w:fill="FBE4D5" w:themeFill="accent2" w:themeFillTint="33"/>
          </w:tcPr>
          <w:p w14:paraId="670D1D95" w14:textId="77777777" w:rsidR="000B4987" w:rsidRPr="00420188" w:rsidRDefault="000B4987" w:rsidP="003C1A66">
            <w:pPr>
              <w:jc w:val="center"/>
              <w:rPr>
                <w:b/>
                <w:bCs/>
                <w:sz w:val="28"/>
                <w:szCs w:val="28"/>
              </w:rPr>
            </w:pPr>
            <w:r w:rsidRPr="00420188">
              <w:rPr>
                <w:b/>
                <w:bCs/>
                <w:sz w:val="28"/>
                <w:szCs w:val="28"/>
              </w:rPr>
              <w:t>Access</w:t>
            </w:r>
          </w:p>
        </w:tc>
        <w:tc>
          <w:tcPr>
            <w:tcW w:w="2590" w:type="dxa"/>
            <w:shd w:val="clear" w:color="auto" w:fill="FBE4D5" w:themeFill="accent2" w:themeFillTint="33"/>
          </w:tcPr>
          <w:p w14:paraId="7D34D7C8" w14:textId="77777777" w:rsidR="000B4987" w:rsidRPr="00420188" w:rsidRDefault="000B4987" w:rsidP="003C1A66">
            <w:pPr>
              <w:jc w:val="center"/>
              <w:rPr>
                <w:b/>
                <w:bCs/>
                <w:sz w:val="28"/>
                <w:szCs w:val="28"/>
              </w:rPr>
            </w:pPr>
            <w:r w:rsidRPr="00420188">
              <w:rPr>
                <w:b/>
                <w:bCs/>
                <w:sz w:val="28"/>
                <w:szCs w:val="28"/>
              </w:rPr>
              <w:t>Community Engagement</w:t>
            </w:r>
          </w:p>
        </w:tc>
        <w:tc>
          <w:tcPr>
            <w:tcW w:w="2590" w:type="dxa"/>
            <w:shd w:val="clear" w:color="auto" w:fill="FBE4D5" w:themeFill="accent2" w:themeFillTint="33"/>
          </w:tcPr>
          <w:p w14:paraId="6F47211E" w14:textId="77777777" w:rsidR="000B4987" w:rsidRPr="00420188" w:rsidRDefault="000B4987" w:rsidP="003C1A66">
            <w:pPr>
              <w:jc w:val="center"/>
              <w:rPr>
                <w:b/>
                <w:bCs/>
                <w:sz w:val="28"/>
                <w:szCs w:val="28"/>
              </w:rPr>
            </w:pPr>
            <w:r w:rsidRPr="00420188">
              <w:rPr>
                <w:b/>
                <w:bCs/>
                <w:sz w:val="28"/>
                <w:szCs w:val="28"/>
              </w:rPr>
              <w:t>Workforce Development</w:t>
            </w:r>
          </w:p>
        </w:tc>
        <w:tc>
          <w:tcPr>
            <w:tcW w:w="2590" w:type="dxa"/>
            <w:shd w:val="clear" w:color="auto" w:fill="FBE4D5" w:themeFill="accent2" w:themeFillTint="33"/>
          </w:tcPr>
          <w:p w14:paraId="16CE79B5" w14:textId="77777777" w:rsidR="000B4987" w:rsidRPr="00420188" w:rsidRDefault="000B4987" w:rsidP="003C1A66">
            <w:pPr>
              <w:jc w:val="center"/>
              <w:rPr>
                <w:b/>
                <w:bCs/>
                <w:sz w:val="28"/>
                <w:szCs w:val="28"/>
              </w:rPr>
            </w:pPr>
            <w:r w:rsidRPr="00420188">
              <w:rPr>
                <w:b/>
                <w:bCs/>
                <w:sz w:val="28"/>
                <w:szCs w:val="28"/>
              </w:rPr>
              <w:t>College Sustainability</w:t>
            </w:r>
          </w:p>
        </w:tc>
      </w:tr>
      <w:tr w:rsidR="000B4987" w:rsidRPr="00755C0D" w14:paraId="05C7F763" w14:textId="77777777" w:rsidTr="003C1A66">
        <w:tc>
          <w:tcPr>
            <w:tcW w:w="2590" w:type="dxa"/>
            <w:shd w:val="clear" w:color="auto" w:fill="auto"/>
          </w:tcPr>
          <w:p w14:paraId="002ED2A9" w14:textId="77777777" w:rsidR="000B4987" w:rsidRPr="00755C0D" w:rsidRDefault="000B4987" w:rsidP="003C1A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Madras Campus Expansion</w:t>
            </w:r>
          </w:p>
        </w:tc>
        <w:tc>
          <w:tcPr>
            <w:tcW w:w="2590" w:type="dxa"/>
            <w:shd w:val="clear" w:color="auto" w:fill="auto"/>
          </w:tcPr>
          <w:p w14:paraId="1F545B83" w14:textId="77777777" w:rsidR="000B4987" w:rsidRDefault="000B4987" w:rsidP="003C1A66">
            <w:pPr>
              <w:tabs>
                <w:tab w:val="left" w:pos="4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Madras Campus Expansion</w:t>
            </w:r>
          </w:p>
          <w:p w14:paraId="02477A53" w14:textId="77777777" w:rsidR="000B4987" w:rsidRPr="00755C0D" w:rsidRDefault="000B4987" w:rsidP="003C1A66">
            <w:pPr>
              <w:tabs>
                <w:tab w:val="left" w:pos="46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590" w:type="dxa"/>
            <w:shd w:val="clear" w:color="auto" w:fill="auto"/>
          </w:tcPr>
          <w:p w14:paraId="0B2C79D4" w14:textId="77777777" w:rsidR="000B4987" w:rsidRPr="00755C0D" w:rsidRDefault="000B4987" w:rsidP="003C1A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Growing Together Capital Campaign</w:t>
            </w:r>
          </w:p>
        </w:tc>
        <w:tc>
          <w:tcPr>
            <w:tcW w:w="2590" w:type="dxa"/>
            <w:shd w:val="clear" w:color="auto" w:fill="auto"/>
          </w:tcPr>
          <w:p w14:paraId="444A6BEC" w14:textId="77777777" w:rsidR="000B4987" w:rsidRPr="00755C0D" w:rsidRDefault="000B4987" w:rsidP="003C1A66">
            <w:pPr>
              <w:tabs>
                <w:tab w:val="left" w:pos="6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Madras Campus Expansion</w:t>
            </w:r>
          </w:p>
        </w:tc>
        <w:tc>
          <w:tcPr>
            <w:tcW w:w="2590" w:type="dxa"/>
            <w:shd w:val="clear" w:color="auto" w:fill="auto"/>
          </w:tcPr>
          <w:p w14:paraId="761B0627" w14:textId="77777777" w:rsidR="000B4987" w:rsidRPr="00755C0D" w:rsidRDefault="000B4987" w:rsidP="003C1A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Centralized grants tracking and departmental training</w:t>
            </w:r>
          </w:p>
        </w:tc>
      </w:tr>
      <w:tr w:rsidR="000B4987" w:rsidRPr="00755C0D" w14:paraId="4956028D" w14:textId="77777777" w:rsidTr="003C1A66">
        <w:tc>
          <w:tcPr>
            <w:tcW w:w="2590" w:type="dxa"/>
            <w:shd w:val="clear" w:color="auto" w:fill="auto"/>
          </w:tcPr>
          <w:p w14:paraId="636A561F" w14:textId="77777777" w:rsidR="000B4987" w:rsidRPr="00755C0D" w:rsidRDefault="000B4987" w:rsidP="003C1A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90" w:type="dxa"/>
            <w:shd w:val="clear" w:color="auto" w:fill="auto"/>
          </w:tcPr>
          <w:p w14:paraId="0176D635" w14:textId="77777777" w:rsidR="000B4987" w:rsidRDefault="000B4987" w:rsidP="003C1A66">
            <w:pPr>
              <w:tabs>
                <w:tab w:val="left" w:pos="4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COCC.EDU redesign for ADA compliance, branding consistency</w:t>
            </w:r>
          </w:p>
          <w:p w14:paraId="470454CB" w14:textId="77777777" w:rsidR="000B4987" w:rsidRPr="00755C0D" w:rsidRDefault="000B4987" w:rsidP="003C1A66">
            <w:pPr>
              <w:tabs>
                <w:tab w:val="left" w:pos="46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590" w:type="dxa"/>
            <w:shd w:val="clear" w:color="auto" w:fill="auto"/>
          </w:tcPr>
          <w:p w14:paraId="0C35C9AA" w14:textId="77777777" w:rsidR="000B4987" w:rsidRPr="00755C0D" w:rsidRDefault="000B4987" w:rsidP="003C1A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New digital content will be used across campus in marketing, branding and recruitment</w:t>
            </w:r>
          </w:p>
        </w:tc>
        <w:tc>
          <w:tcPr>
            <w:tcW w:w="2590" w:type="dxa"/>
            <w:shd w:val="clear" w:color="auto" w:fill="auto"/>
          </w:tcPr>
          <w:p w14:paraId="06863C81" w14:textId="77777777" w:rsidR="000B4987" w:rsidRDefault="000B4987" w:rsidP="003C1A66">
            <w:pPr>
              <w:tabs>
                <w:tab w:val="left" w:pos="690"/>
              </w:tabs>
              <w:jc w:val="center"/>
              <w:rPr>
                <w:sz w:val="24"/>
                <w:szCs w:val="24"/>
              </w:rPr>
            </w:pPr>
          </w:p>
          <w:p w14:paraId="66CBC7C0" w14:textId="77777777" w:rsidR="000B4987" w:rsidRPr="00755C0D" w:rsidRDefault="000B4987" w:rsidP="003C1A66">
            <w:pPr>
              <w:tabs>
                <w:tab w:val="left" w:pos="6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New CTE Scholarships </w:t>
            </w:r>
          </w:p>
        </w:tc>
        <w:tc>
          <w:tcPr>
            <w:tcW w:w="2590" w:type="dxa"/>
            <w:shd w:val="clear" w:color="auto" w:fill="auto"/>
          </w:tcPr>
          <w:p w14:paraId="32BAF501" w14:textId="77777777" w:rsidR="000B4987" w:rsidRPr="00755C0D" w:rsidRDefault="000B4987" w:rsidP="003C1A66">
            <w:pPr>
              <w:jc w:val="center"/>
              <w:rPr>
                <w:sz w:val="24"/>
                <w:szCs w:val="24"/>
              </w:rPr>
            </w:pPr>
          </w:p>
        </w:tc>
      </w:tr>
      <w:tr w:rsidR="000B4987" w:rsidRPr="00755C0D" w14:paraId="6DACE91A" w14:textId="77777777" w:rsidTr="003C1A66">
        <w:tc>
          <w:tcPr>
            <w:tcW w:w="2590" w:type="dxa"/>
            <w:shd w:val="clear" w:color="auto" w:fill="auto"/>
          </w:tcPr>
          <w:p w14:paraId="03ACB73D" w14:textId="77777777" w:rsidR="000B4987" w:rsidRPr="00755C0D" w:rsidRDefault="000B4987" w:rsidP="003C1A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90" w:type="dxa"/>
            <w:shd w:val="clear" w:color="auto" w:fill="auto"/>
          </w:tcPr>
          <w:p w14:paraId="13FE54BD" w14:textId="77777777" w:rsidR="000B4987" w:rsidRPr="00755C0D" w:rsidRDefault="000B4987" w:rsidP="003C1A66">
            <w:pPr>
              <w:tabs>
                <w:tab w:val="left" w:pos="46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590" w:type="dxa"/>
            <w:shd w:val="clear" w:color="auto" w:fill="auto"/>
          </w:tcPr>
          <w:p w14:paraId="1F058545" w14:textId="77777777" w:rsidR="000B4987" w:rsidRPr="00755C0D" w:rsidRDefault="000B4987" w:rsidP="003C1A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  <w:r w:rsidRPr="00D33AEE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anniversary celebrations throughout 2024-25 academic year</w:t>
            </w:r>
          </w:p>
        </w:tc>
        <w:tc>
          <w:tcPr>
            <w:tcW w:w="2590" w:type="dxa"/>
            <w:shd w:val="clear" w:color="auto" w:fill="auto"/>
          </w:tcPr>
          <w:p w14:paraId="31D65ACB" w14:textId="77777777" w:rsidR="000B4987" w:rsidRPr="00755C0D" w:rsidRDefault="000B4987" w:rsidP="003C1A66">
            <w:pPr>
              <w:tabs>
                <w:tab w:val="left" w:pos="6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CBIPD Marketing refresh</w:t>
            </w:r>
          </w:p>
        </w:tc>
        <w:tc>
          <w:tcPr>
            <w:tcW w:w="2590" w:type="dxa"/>
            <w:shd w:val="clear" w:color="auto" w:fill="auto"/>
          </w:tcPr>
          <w:p w14:paraId="0765F677" w14:textId="77777777" w:rsidR="000B4987" w:rsidRPr="00755C0D" w:rsidRDefault="000B4987" w:rsidP="003C1A6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2546FCB" w14:textId="77777777" w:rsidR="00CF3087" w:rsidRDefault="00CF3087"/>
    <w:sectPr w:rsidR="00CF3087" w:rsidSect="000B498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987"/>
    <w:rsid w:val="000B4987"/>
    <w:rsid w:val="00CF3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241D82"/>
  <w15:chartTrackingRefBased/>
  <w15:docId w15:val="{83F4A3E5-AF2A-402C-B076-826C7441C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4987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49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Moore</dc:creator>
  <cp:keywords/>
  <dc:description/>
  <cp:lastModifiedBy>Alicia Moore</cp:lastModifiedBy>
  <cp:revision>1</cp:revision>
  <dcterms:created xsi:type="dcterms:W3CDTF">2025-07-02T16:16:00Z</dcterms:created>
  <dcterms:modified xsi:type="dcterms:W3CDTF">2025-07-02T16:19:00Z</dcterms:modified>
</cp:coreProperties>
</file>