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0213" w14:textId="02D46B69" w:rsidR="00C43804" w:rsidRPr="00ED091B" w:rsidRDefault="003D202F" w:rsidP="00C43804">
      <w:pPr>
        <w:pStyle w:val="Footer"/>
        <w:jc w:val="right"/>
        <w:rPr>
          <w:rFonts w:cstheme="minorHAnsi"/>
        </w:rPr>
      </w:pPr>
      <w:r w:rsidRPr="00ED091B">
        <w:rPr>
          <w:rFonts w:cstheme="minorHAnsi"/>
          <w:noProof/>
        </w:rPr>
        <w:drawing>
          <wp:anchor distT="0" distB="0" distL="114300" distR="114300" simplePos="0" relativeHeight="251661312" behindDoc="0" locked="0" layoutInCell="1" allowOverlap="1" wp14:anchorId="6A70C478" wp14:editId="032E2B14">
            <wp:simplePos x="0" y="0"/>
            <wp:positionH relativeFrom="margin">
              <wp:align>left</wp:align>
            </wp:positionH>
            <wp:positionV relativeFrom="margin">
              <wp:align>top</wp:align>
            </wp:positionV>
            <wp:extent cx="1202055" cy="1152525"/>
            <wp:effectExtent l="0" t="0" r="0" b="9525"/>
            <wp:wrapSquare wrapText="bothSides"/>
            <wp:docPr id="2" name="Picture 2" descr="https://www.cocc.edu/about/logos/images/coccsymbol_primary_med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cc.edu/about/logos/images/coccsymbol_primary_med_4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804" w:rsidRPr="00ED091B">
        <w:rPr>
          <w:rFonts w:cstheme="minorHAnsi"/>
        </w:rPr>
        <w:t>Board Meeting Date:</w:t>
      </w:r>
      <w:r w:rsidR="007A4221">
        <w:rPr>
          <w:rFonts w:cstheme="minorHAnsi"/>
        </w:rPr>
        <w:t xml:space="preserve"> </w:t>
      </w:r>
      <w:r w:rsidR="005E351D" w:rsidRPr="005E351D">
        <w:rPr>
          <w:rFonts w:cstheme="minorHAnsi"/>
          <w:highlight w:val="yellow"/>
        </w:rPr>
        <w:t>DATE</w:t>
      </w:r>
    </w:p>
    <w:p w14:paraId="4E53457A" w14:textId="3CEEAA77" w:rsidR="00C43804" w:rsidRPr="00ED091B" w:rsidRDefault="00C43804" w:rsidP="00C43804">
      <w:pPr>
        <w:pStyle w:val="Footer"/>
        <w:jc w:val="right"/>
        <w:rPr>
          <w:rFonts w:cstheme="minorHAnsi"/>
        </w:rPr>
      </w:pPr>
      <w:r w:rsidRPr="00ED091B">
        <w:rPr>
          <w:rFonts w:cstheme="minorHAnsi"/>
        </w:rPr>
        <w:t>Exhibit No.:</w:t>
      </w:r>
      <w:r w:rsidR="007A4221">
        <w:rPr>
          <w:rFonts w:cstheme="minorHAnsi"/>
        </w:rPr>
        <w:t xml:space="preserve"> </w:t>
      </w:r>
      <w:r w:rsidR="005E351D" w:rsidRPr="005E351D">
        <w:rPr>
          <w:rFonts w:cstheme="minorHAnsi"/>
          <w:highlight w:val="yellow"/>
        </w:rPr>
        <w:t>##</w:t>
      </w:r>
    </w:p>
    <w:p w14:paraId="6B9D4A76" w14:textId="77777777" w:rsidR="00C43804" w:rsidRPr="00ED091B" w:rsidRDefault="00C43804" w:rsidP="00C43804">
      <w:pPr>
        <w:jc w:val="right"/>
        <w:rPr>
          <w:rFonts w:cstheme="minorHAnsi"/>
          <w:b/>
        </w:rPr>
      </w:pPr>
    </w:p>
    <w:p w14:paraId="0C3E80D0" w14:textId="77777777" w:rsidR="00C43804" w:rsidRPr="00ED091B" w:rsidRDefault="00C43804" w:rsidP="00C43804">
      <w:pPr>
        <w:jc w:val="right"/>
        <w:rPr>
          <w:rFonts w:cstheme="minorHAnsi"/>
          <w:b/>
        </w:rPr>
      </w:pPr>
      <w:r w:rsidRPr="00ED091B">
        <w:rPr>
          <w:rFonts w:cstheme="minorHAnsi"/>
          <w:b/>
        </w:rPr>
        <w:t>Central</w:t>
      </w:r>
      <w:r w:rsidRPr="00ED091B">
        <w:rPr>
          <w:rFonts w:cstheme="minorHAnsi"/>
        </w:rPr>
        <w:t xml:space="preserve"> </w:t>
      </w:r>
      <w:r w:rsidRPr="00ED091B">
        <w:rPr>
          <w:rFonts w:cstheme="minorHAnsi"/>
          <w:b/>
        </w:rPr>
        <w:t xml:space="preserve">Oregon Community College </w:t>
      </w:r>
    </w:p>
    <w:p w14:paraId="54E06D6C" w14:textId="3361B482" w:rsidR="00C43804" w:rsidRPr="00ED091B" w:rsidRDefault="00C43804" w:rsidP="00C43804">
      <w:pPr>
        <w:jc w:val="right"/>
        <w:rPr>
          <w:rFonts w:cstheme="minorHAnsi"/>
        </w:rPr>
      </w:pPr>
      <w:r w:rsidRPr="00ED091B">
        <w:rPr>
          <w:rFonts w:cstheme="minorHAnsi"/>
          <w:b/>
        </w:rPr>
        <w:t>Board of Directors:</w:t>
      </w:r>
      <w:r w:rsidR="00B706E0" w:rsidRPr="00ED091B">
        <w:rPr>
          <w:rFonts w:cstheme="minorHAnsi"/>
          <w:b/>
        </w:rPr>
        <w:t xml:space="preserve"> </w:t>
      </w:r>
      <w:r w:rsidR="009C3199" w:rsidRPr="00ED091B">
        <w:rPr>
          <w:rFonts w:cstheme="minorHAnsi"/>
          <w:b/>
        </w:rPr>
        <w:t>Information Item</w:t>
      </w:r>
    </w:p>
    <w:p w14:paraId="40D2BB79" w14:textId="77777777" w:rsidR="00C43804" w:rsidRPr="00ED091B" w:rsidRDefault="00C43804" w:rsidP="00C43804">
      <w:pPr>
        <w:jc w:val="right"/>
        <w:rPr>
          <w:rFonts w:cstheme="minorHAnsi"/>
        </w:rPr>
      </w:pPr>
      <w:r w:rsidRPr="00ED091B">
        <w:rPr>
          <w:rFonts w:cstheme="minorHAnsi"/>
          <w:b/>
          <w:noProof/>
        </w:rPr>
        <mc:AlternateContent>
          <mc:Choice Requires="wps">
            <w:drawing>
              <wp:anchor distT="0" distB="0" distL="114300" distR="114300" simplePos="0" relativeHeight="251660288" behindDoc="0" locked="0" layoutInCell="1" allowOverlap="1" wp14:anchorId="1D375EEE" wp14:editId="7041A0EF">
                <wp:simplePos x="0" y="0"/>
                <wp:positionH relativeFrom="column">
                  <wp:posOffset>1095375</wp:posOffset>
                </wp:positionH>
                <wp:positionV relativeFrom="paragraph">
                  <wp:posOffset>89535</wp:posOffset>
                </wp:positionV>
                <wp:extent cx="483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838700" cy="0"/>
                        </a:xfrm>
                        <a:prstGeom prst="line">
                          <a:avLst/>
                        </a:prstGeom>
                        <a:ln w="190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C9691"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" strokecolor="#5a5a5a [2109]" strokeweight="1.5pt">
                <v:stroke joinstyle="miter"/>
              </v:line>
            </w:pict>
          </mc:Fallback>
        </mc:AlternateContent>
      </w:r>
    </w:p>
    <w:p w14:paraId="6F6EF8BB" w14:textId="77777777" w:rsidR="00C43804" w:rsidRPr="00ED091B" w:rsidRDefault="00C43804" w:rsidP="00C43804">
      <w:pPr>
        <w:rPr>
          <w:rFonts w:cstheme="minorHAnsi"/>
        </w:rPr>
      </w:pPr>
    </w:p>
    <w:p w14:paraId="0F490DBB" w14:textId="77777777" w:rsidR="00C43804" w:rsidRPr="00ED091B" w:rsidRDefault="00C43804" w:rsidP="00C43804">
      <w:pPr>
        <w:rPr>
          <w:rFonts w:cstheme="minorHAnsi"/>
        </w:rPr>
      </w:pPr>
    </w:p>
    <w:tbl>
      <w:tblPr>
        <w:tblStyle w:val="TableGrid"/>
        <w:tblW w:w="9360" w:type="dxa"/>
        <w:tblInd w:w="-5" w:type="dxa"/>
        <w:tblLook w:val="04A0" w:firstRow="1" w:lastRow="0" w:firstColumn="1" w:lastColumn="0" w:noHBand="0" w:noVBand="1"/>
      </w:tblPr>
      <w:tblGrid>
        <w:gridCol w:w="1620"/>
        <w:gridCol w:w="7740"/>
      </w:tblGrid>
      <w:tr w:rsidR="00C43804" w:rsidRPr="000D7A58" w14:paraId="6AB68DE0" w14:textId="77777777" w:rsidTr="009C3199">
        <w:tc>
          <w:tcPr>
            <w:tcW w:w="1620" w:type="dxa"/>
          </w:tcPr>
          <w:p w14:paraId="00A072B7" w14:textId="77777777" w:rsidR="00C43804" w:rsidRPr="000D7A58" w:rsidRDefault="00C43804" w:rsidP="00632C5F">
            <w:pPr>
              <w:rPr>
                <w:rFonts w:cstheme="minorHAnsi"/>
                <w:b/>
              </w:rPr>
            </w:pPr>
            <w:r w:rsidRPr="000D7A58">
              <w:rPr>
                <w:rFonts w:cstheme="minorHAnsi"/>
                <w:b/>
              </w:rPr>
              <w:t>Subject</w:t>
            </w:r>
          </w:p>
        </w:tc>
        <w:tc>
          <w:tcPr>
            <w:tcW w:w="7740" w:type="dxa"/>
          </w:tcPr>
          <w:p w14:paraId="265D774D" w14:textId="6BEBFF43" w:rsidR="00C43804" w:rsidRPr="000D7A58" w:rsidRDefault="006F5D43" w:rsidP="00632C5F">
            <w:pPr>
              <w:rPr>
                <w:rFonts w:cstheme="minorHAnsi"/>
                <w:b/>
              </w:rPr>
            </w:pPr>
            <w:r>
              <w:rPr>
                <w:rFonts w:cstheme="minorHAnsi"/>
                <w:b/>
              </w:rPr>
              <w:t xml:space="preserve">Mission Fulfillment Report: </w:t>
            </w:r>
            <w:r w:rsidR="00B706E0" w:rsidRPr="000D7A58">
              <w:rPr>
                <w:rFonts w:cstheme="minorHAnsi"/>
                <w:b/>
              </w:rPr>
              <w:t>2023-2</w:t>
            </w:r>
            <w:r w:rsidR="00264305" w:rsidRPr="000D7A58">
              <w:rPr>
                <w:rFonts w:cstheme="minorHAnsi"/>
                <w:b/>
              </w:rPr>
              <w:t>7</w:t>
            </w:r>
            <w:r w:rsidR="00B706E0" w:rsidRPr="000D7A58">
              <w:rPr>
                <w:rFonts w:cstheme="minorHAnsi"/>
                <w:b/>
              </w:rPr>
              <w:t xml:space="preserve"> Strategic Plan Indicators</w:t>
            </w:r>
            <w:r>
              <w:rPr>
                <w:rFonts w:cstheme="minorHAnsi"/>
                <w:b/>
              </w:rPr>
              <w:t xml:space="preserve"> and </w:t>
            </w:r>
            <w:r w:rsidR="009C3199" w:rsidRPr="000D7A58">
              <w:rPr>
                <w:rFonts w:cstheme="minorHAnsi"/>
                <w:b/>
              </w:rPr>
              <w:t>Targets</w:t>
            </w:r>
            <w:r w:rsidR="003536BA" w:rsidRPr="000D7A58">
              <w:rPr>
                <w:rFonts w:cstheme="minorHAnsi"/>
                <w:b/>
              </w:rPr>
              <w:t xml:space="preserve"> </w:t>
            </w:r>
            <w:r>
              <w:rPr>
                <w:rFonts w:cstheme="minorHAnsi"/>
                <w:b/>
              </w:rPr>
              <w:t>– Year Two</w:t>
            </w:r>
          </w:p>
        </w:tc>
      </w:tr>
      <w:tr w:rsidR="00F277EC" w:rsidRPr="000D7A58" w14:paraId="7F0EFA40" w14:textId="77777777" w:rsidTr="009C3199">
        <w:tc>
          <w:tcPr>
            <w:tcW w:w="1620" w:type="dxa"/>
          </w:tcPr>
          <w:p w14:paraId="2478270A" w14:textId="77777777" w:rsidR="00F277EC" w:rsidRPr="000D7A58" w:rsidRDefault="00F277EC" w:rsidP="00F277EC">
            <w:pPr>
              <w:rPr>
                <w:rFonts w:cstheme="minorHAnsi"/>
                <w:b/>
              </w:rPr>
            </w:pPr>
            <w:r w:rsidRPr="000D7A58">
              <w:rPr>
                <w:rFonts w:cstheme="minorHAnsi"/>
                <w:b/>
              </w:rPr>
              <w:t>Prepared By</w:t>
            </w:r>
          </w:p>
        </w:tc>
        <w:tc>
          <w:tcPr>
            <w:tcW w:w="7740" w:type="dxa"/>
          </w:tcPr>
          <w:p w14:paraId="6BD169B8" w14:textId="394BB3BF" w:rsidR="009C3199" w:rsidRPr="000D7A58" w:rsidRDefault="009C3199" w:rsidP="009C3199">
            <w:pPr>
              <w:pStyle w:val="ListParagraph"/>
              <w:numPr>
                <w:ilvl w:val="0"/>
                <w:numId w:val="18"/>
              </w:numPr>
              <w:rPr>
                <w:rFonts w:cstheme="minorHAnsi"/>
              </w:rPr>
            </w:pPr>
            <w:r w:rsidRPr="000D7A58">
              <w:rPr>
                <w:rFonts w:cstheme="minorHAnsi"/>
              </w:rPr>
              <w:t>Laurie Chesley, President</w:t>
            </w:r>
          </w:p>
          <w:p w14:paraId="3CB2B0C0" w14:textId="2719B868" w:rsidR="009C3199" w:rsidRPr="000D7A58" w:rsidRDefault="009C3199" w:rsidP="009C3199">
            <w:pPr>
              <w:pStyle w:val="ListParagraph"/>
              <w:numPr>
                <w:ilvl w:val="0"/>
                <w:numId w:val="18"/>
              </w:numPr>
              <w:rPr>
                <w:rFonts w:cstheme="minorHAnsi"/>
              </w:rPr>
            </w:pPr>
            <w:r w:rsidRPr="000D7A58">
              <w:rPr>
                <w:rFonts w:cstheme="minorHAnsi"/>
              </w:rPr>
              <w:t xml:space="preserve">Laura Boehme, Vice President </w:t>
            </w:r>
            <w:r w:rsidR="006C57FE">
              <w:rPr>
                <w:rFonts w:cstheme="minorHAnsi"/>
              </w:rPr>
              <w:t xml:space="preserve">of </w:t>
            </w:r>
            <w:r w:rsidRPr="000D7A58">
              <w:rPr>
                <w:rFonts w:cstheme="minorHAnsi"/>
              </w:rPr>
              <w:t>People and Technology</w:t>
            </w:r>
          </w:p>
          <w:p w14:paraId="4709A807" w14:textId="0FCC6C66" w:rsidR="009C3199" w:rsidRPr="000D7A58" w:rsidRDefault="009C3199" w:rsidP="009C3199">
            <w:pPr>
              <w:pStyle w:val="ListParagraph"/>
              <w:numPr>
                <w:ilvl w:val="0"/>
                <w:numId w:val="18"/>
              </w:numPr>
              <w:rPr>
                <w:rFonts w:cstheme="minorHAnsi"/>
              </w:rPr>
            </w:pPr>
            <w:r w:rsidRPr="000D7A58">
              <w:rPr>
                <w:rFonts w:cstheme="minorHAnsi"/>
              </w:rPr>
              <w:t>Zak Boone, Vice President of</w:t>
            </w:r>
            <w:r w:rsidR="00264305" w:rsidRPr="000D7A58">
              <w:rPr>
                <w:rFonts w:cstheme="minorHAnsi"/>
              </w:rPr>
              <w:t xml:space="preserve"> College</w:t>
            </w:r>
            <w:r w:rsidRPr="000D7A58">
              <w:rPr>
                <w:rFonts w:cstheme="minorHAnsi"/>
              </w:rPr>
              <w:t xml:space="preserve"> Advancement and Executive Director – COCC Foundation</w:t>
            </w:r>
          </w:p>
          <w:p w14:paraId="665DB68A" w14:textId="707C4FAD" w:rsidR="009C3199" w:rsidRPr="000D7A58" w:rsidRDefault="009C3199" w:rsidP="009C3199">
            <w:pPr>
              <w:pStyle w:val="ListParagraph"/>
              <w:numPr>
                <w:ilvl w:val="0"/>
                <w:numId w:val="18"/>
              </w:numPr>
              <w:rPr>
                <w:rFonts w:cstheme="minorHAnsi"/>
              </w:rPr>
            </w:pPr>
            <w:r w:rsidRPr="000D7A58">
              <w:rPr>
                <w:rFonts w:cstheme="minorHAnsi"/>
              </w:rPr>
              <w:t>Annemarie Hamlin, Vice President of Academic Affairs</w:t>
            </w:r>
          </w:p>
          <w:p w14:paraId="6C09921C" w14:textId="0A2FE3EF" w:rsidR="009C3199" w:rsidRPr="000D7A58" w:rsidRDefault="009C3199" w:rsidP="009C3199">
            <w:pPr>
              <w:pStyle w:val="ListParagraph"/>
              <w:numPr>
                <w:ilvl w:val="0"/>
                <w:numId w:val="18"/>
              </w:numPr>
              <w:rPr>
                <w:rFonts w:cstheme="minorHAnsi"/>
              </w:rPr>
            </w:pPr>
            <w:r w:rsidRPr="000D7A58">
              <w:rPr>
                <w:rFonts w:cstheme="minorHAnsi"/>
              </w:rPr>
              <w:t>Michael LaLonde, Vice President of Finance and Operations</w:t>
            </w:r>
          </w:p>
          <w:p w14:paraId="307E79AF" w14:textId="6A47EFFC" w:rsidR="00B706E0" w:rsidRPr="000D7A58" w:rsidRDefault="00B706E0" w:rsidP="009C3199">
            <w:pPr>
              <w:pStyle w:val="ListParagraph"/>
              <w:numPr>
                <w:ilvl w:val="0"/>
                <w:numId w:val="18"/>
              </w:numPr>
              <w:rPr>
                <w:rFonts w:cstheme="minorHAnsi"/>
              </w:rPr>
            </w:pPr>
            <w:r w:rsidRPr="000D7A58">
              <w:rPr>
                <w:rFonts w:cstheme="minorHAnsi"/>
              </w:rPr>
              <w:t xml:space="preserve">Alicia Moore, Vice President of Student Affairs </w:t>
            </w:r>
          </w:p>
        </w:tc>
      </w:tr>
    </w:tbl>
    <w:p w14:paraId="7CA3549E" w14:textId="77777777" w:rsidR="00C43804" w:rsidRPr="000D7A58" w:rsidRDefault="00C43804" w:rsidP="00C43804">
      <w:pPr>
        <w:rPr>
          <w:rFonts w:cstheme="minorHAnsi"/>
          <w:b/>
        </w:rPr>
      </w:pPr>
    </w:p>
    <w:p w14:paraId="299F3DDD" w14:textId="77777777" w:rsidR="006F5D43" w:rsidRDefault="006F5D43" w:rsidP="006F5D43">
      <w:pPr>
        <w:shd w:val="clear" w:color="auto" w:fill="B4C6E7" w:themeFill="accent5" w:themeFillTint="66"/>
        <w:rPr>
          <w:rFonts w:cstheme="minorHAnsi"/>
          <w:b/>
        </w:rPr>
      </w:pPr>
      <w:r>
        <w:rPr>
          <w:rFonts w:cstheme="minorHAnsi"/>
          <w:b/>
        </w:rPr>
        <w:t>BACKGROUND and UPDATES</w:t>
      </w:r>
    </w:p>
    <w:p w14:paraId="0B1B230A" w14:textId="77777777" w:rsidR="006F5D43" w:rsidRDefault="006F5D43" w:rsidP="009C3199">
      <w:pPr>
        <w:rPr>
          <w:rFonts w:cstheme="minorHAnsi"/>
          <w:b/>
        </w:rPr>
      </w:pPr>
    </w:p>
    <w:p w14:paraId="1C33C7D0" w14:textId="77777777" w:rsidR="006F0FD0" w:rsidRDefault="006F0FD0" w:rsidP="009C3199">
      <w:pPr>
        <w:rPr>
          <w:rFonts w:cstheme="minorHAnsi"/>
          <w:bCs/>
          <w:u w:val="single"/>
        </w:rPr>
      </w:pPr>
      <w:r>
        <w:rPr>
          <w:rFonts w:cstheme="minorHAnsi"/>
          <w:bCs/>
          <w:u w:val="single"/>
        </w:rPr>
        <w:t>Background</w:t>
      </w:r>
    </w:p>
    <w:p w14:paraId="6EFE06FC" w14:textId="22C43BFB" w:rsidR="00D85FC4" w:rsidRDefault="00A02D0D" w:rsidP="009C3199">
      <w:pPr>
        <w:rPr>
          <w:rFonts w:cstheme="minorHAnsi"/>
          <w:bCs/>
        </w:rPr>
      </w:pPr>
      <w:r>
        <w:rPr>
          <w:rFonts w:cstheme="minorHAnsi"/>
          <w:bCs/>
        </w:rPr>
        <w:t>The COCC Board of Directors approved the 2023-27 Strategic Plan at its September 2023 Board meeting. The Board also approved 223-27 Strategic plan indicators at its January 2024 meeting as a means of ensuring progress towards</w:t>
      </w:r>
      <w:r w:rsidR="00ED091B" w:rsidRPr="000D7A58">
        <w:rPr>
          <w:rFonts w:cstheme="minorHAnsi"/>
          <w:bCs/>
        </w:rPr>
        <w:t xml:space="preserve"> the strategic plan goals</w:t>
      </w:r>
      <w:r>
        <w:rPr>
          <w:rFonts w:cstheme="minorHAnsi"/>
          <w:bCs/>
        </w:rPr>
        <w:t xml:space="preserve">. </w:t>
      </w:r>
      <w:r w:rsidR="00D85FC4" w:rsidRPr="000D7A58">
        <w:rPr>
          <w:rFonts w:cstheme="minorHAnsi"/>
          <w:bCs/>
        </w:rPr>
        <w:t xml:space="preserve">This information item elaborates on those indicators and provides </w:t>
      </w:r>
      <w:r w:rsidR="006F5D43">
        <w:rPr>
          <w:rFonts w:cstheme="minorHAnsi"/>
          <w:bCs/>
        </w:rPr>
        <w:t>updated</w:t>
      </w:r>
      <w:r w:rsidR="00D85FC4" w:rsidRPr="000D7A58">
        <w:rPr>
          <w:rFonts w:cstheme="minorHAnsi"/>
          <w:bCs/>
        </w:rPr>
        <w:t xml:space="preserve"> targets, data and related information for each indicator. </w:t>
      </w:r>
      <w:r>
        <w:rPr>
          <w:rFonts w:cstheme="minorHAnsi"/>
          <w:bCs/>
        </w:rPr>
        <w:t xml:space="preserve">The </w:t>
      </w:r>
      <w:r w:rsidR="00D85FC4" w:rsidRPr="000D7A58">
        <w:rPr>
          <w:rFonts w:cstheme="minorHAnsi"/>
          <w:bCs/>
        </w:rPr>
        <w:t xml:space="preserve">Senior Leadership Team will discuss the indicators during a presentation at the Board of Directors’ </w:t>
      </w:r>
      <w:r w:rsidR="006F5D43">
        <w:rPr>
          <w:rFonts w:cstheme="minorHAnsi"/>
          <w:bCs/>
        </w:rPr>
        <w:t>June</w:t>
      </w:r>
      <w:r w:rsidR="00D85FC4" w:rsidRPr="000D7A58">
        <w:rPr>
          <w:rFonts w:cstheme="minorHAnsi"/>
          <w:bCs/>
        </w:rPr>
        <w:t xml:space="preserve"> meeting. The details </w:t>
      </w:r>
      <w:r>
        <w:rPr>
          <w:rFonts w:cstheme="minorHAnsi"/>
          <w:bCs/>
        </w:rPr>
        <w:t>in this information item</w:t>
      </w:r>
      <w:r w:rsidR="00D85FC4" w:rsidRPr="000D7A58">
        <w:rPr>
          <w:rFonts w:cstheme="minorHAnsi"/>
          <w:bCs/>
        </w:rPr>
        <w:t xml:space="preserve"> serve as a foundation for that presentation.</w:t>
      </w:r>
    </w:p>
    <w:p w14:paraId="5D3DD8D5" w14:textId="28B45C9D" w:rsidR="004949AE" w:rsidRDefault="004949AE" w:rsidP="009C3199">
      <w:pPr>
        <w:rPr>
          <w:rFonts w:cstheme="minorHAnsi"/>
          <w:bCs/>
        </w:rPr>
      </w:pPr>
    </w:p>
    <w:p w14:paraId="2A51C8D4" w14:textId="79716DF5" w:rsidR="004949AE" w:rsidRDefault="004949AE" w:rsidP="009C3199">
      <w:pPr>
        <w:rPr>
          <w:rFonts w:cstheme="minorHAnsi"/>
          <w:bCs/>
        </w:rPr>
      </w:pPr>
      <w:r>
        <w:rPr>
          <w:rFonts w:cstheme="minorHAnsi"/>
          <w:bCs/>
        </w:rPr>
        <w:t xml:space="preserve">In order to regularly monitor progress towards the </w:t>
      </w:r>
      <w:hyperlink r:id="rId9" w:history="1">
        <w:r w:rsidRPr="004949AE">
          <w:rPr>
            <w:rStyle w:val="Hyperlink"/>
            <w:rFonts w:cstheme="minorHAnsi"/>
            <w:bCs/>
          </w:rPr>
          <w:t>2023-27 Strategic Plan</w:t>
        </w:r>
      </w:hyperlink>
      <w:r>
        <w:rPr>
          <w:rFonts w:cstheme="minorHAnsi"/>
          <w:bCs/>
        </w:rPr>
        <w:t xml:space="preserve"> webpage, the College maintains a strategic plan </w:t>
      </w:r>
      <w:hyperlink r:id="rId10" w:history="1">
        <w:r w:rsidRPr="004949AE">
          <w:rPr>
            <w:rStyle w:val="Hyperlink"/>
            <w:rFonts w:cstheme="minorHAnsi"/>
            <w:bCs/>
          </w:rPr>
          <w:t>dashboard</w:t>
        </w:r>
      </w:hyperlink>
      <w:r>
        <w:rPr>
          <w:rFonts w:cstheme="minorHAnsi"/>
          <w:bCs/>
        </w:rPr>
        <w:t xml:space="preserve"> that includes goals, indicator, and targets, as well as the ability to disaggregate data where possible.</w:t>
      </w:r>
    </w:p>
    <w:p w14:paraId="6E2A4839" w14:textId="67219D2E" w:rsidR="00DD66BD" w:rsidRDefault="00DD66BD" w:rsidP="009C3199">
      <w:pPr>
        <w:rPr>
          <w:rFonts w:cstheme="minorHAnsi"/>
          <w:bCs/>
        </w:rPr>
      </w:pPr>
    </w:p>
    <w:p w14:paraId="1AA106BB" w14:textId="6BE3F1E8" w:rsidR="006F0FD0" w:rsidRDefault="006F0FD0" w:rsidP="009C3199">
      <w:pPr>
        <w:rPr>
          <w:rFonts w:cstheme="minorHAnsi"/>
          <w:bCs/>
          <w:u w:val="single"/>
        </w:rPr>
      </w:pPr>
      <w:r>
        <w:rPr>
          <w:rFonts w:cstheme="minorHAnsi"/>
          <w:bCs/>
          <w:u w:val="single"/>
        </w:rPr>
        <w:t>Update</w:t>
      </w:r>
      <w:r w:rsidR="004949AE">
        <w:rPr>
          <w:rFonts w:cstheme="minorHAnsi"/>
          <w:bCs/>
          <w:u w:val="single"/>
        </w:rPr>
        <w:t>d</w:t>
      </w:r>
      <w:r>
        <w:rPr>
          <w:rFonts w:cstheme="minorHAnsi"/>
          <w:bCs/>
          <w:u w:val="single"/>
        </w:rPr>
        <w:t xml:space="preserve"> Targets</w:t>
      </w:r>
    </w:p>
    <w:p w14:paraId="0F97CBE6" w14:textId="20C44513" w:rsidR="00DD66BD" w:rsidRDefault="00DD66BD" w:rsidP="009C3199">
      <w:pPr>
        <w:rPr>
          <w:rFonts w:cstheme="minorHAnsi"/>
          <w:bCs/>
        </w:rPr>
      </w:pPr>
      <w:r>
        <w:rPr>
          <w:rFonts w:cstheme="minorHAnsi"/>
          <w:bCs/>
        </w:rPr>
        <w:t>COCC initially set many of its targets without having benefit of comparator institution data and as such, identified the target based on historical COCC averages</w:t>
      </w:r>
      <w:r w:rsidR="00A02D0D">
        <w:rPr>
          <w:rFonts w:cstheme="minorHAnsi"/>
          <w:bCs/>
        </w:rPr>
        <w:t xml:space="preserve">; these averages proved to be fairly conservative in their projections. Since this initial effort, </w:t>
      </w:r>
      <w:r>
        <w:rPr>
          <w:rFonts w:cstheme="minorHAnsi"/>
          <w:bCs/>
        </w:rPr>
        <w:t xml:space="preserve">the College redefined its targets to algin with “stretch” targets, meaning those that show improvement over time but are also not so ambitious as to be unachievable, and have established comparator institution data where possible. </w:t>
      </w:r>
      <w:r w:rsidR="00204499">
        <w:rPr>
          <w:rFonts w:cstheme="minorHAnsi"/>
          <w:bCs/>
        </w:rPr>
        <w:t>Therefore</w:t>
      </w:r>
      <w:r>
        <w:rPr>
          <w:rFonts w:cstheme="minorHAnsi"/>
          <w:bCs/>
        </w:rPr>
        <w:t>, many of the targets established in year one shifted and are noted below.</w:t>
      </w:r>
    </w:p>
    <w:p w14:paraId="6DC99D9B" w14:textId="6AB0405D" w:rsidR="006F5D43" w:rsidRDefault="006F5D43" w:rsidP="009C3199">
      <w:pPr>
        <w:rPr>
          <w:rFonts w:cstheme="minorHAnsi"/>
          <w:bCs/>
        </w:rPr>
      </w:pPr>
    </w:p>
    <w:p w14:paraId="3F8EB62F" w14:textId="77777777" w:rsidR="006F0FD0" w:rsidRDefault="006F0FD0" w:rsidP="009C3199">
      <w:pPr>
        <w:rPr>
          <w:rFonts w:cstheme="minorHAnsi"/>
          <w:bCs/>
          <w:u w:val="single"/>
        </w:rPr>
      </w:pPr>
      <w:r>
        <w:rPr>
          <w:rFonts w:cstheme="minorHAnsi"/>
          <w:bCs/>
          <w:u w:val="single"/>
        </w:rPr>
        <w:t>Report Name</w:t>
      </w:r>
    </w:p>
    <w:p w14:paraId="653E04EA" w14:textId="729AFCAE" w:rsidR="006F5D43" w:rsidRDefault="006F5D43" w:rsidP="009C3199">
      <w:pPr>
        <w:rPr>
          <w:rFonts w:cstheme="minorHAnsi"/>
          <w:bCs/>
        </w:rPr>
      </w:pPr>
      <w:r>
        <w:rPr>
          <w:rFonts w:cstheme="minorHAnsi"/>
          <w:bCs/>
        </w:rPr>
        <w:t xml:space="preserve">It is important to note that this report intentionally has a new name; that is, the Mission Fulfillment report. Doing so helps the College deliberately focus its thinking on how the indicators and targets help the institution meet its mission. In line with NWCCU accreditation standards, </w:t>
      </w:r>
      <w:r w:rsidR="00204499">
        <w:rPr>
          <w:rFonts w:cstheme="minorHAnsi"/>
          <w:bCs/>
        </w:rPr>
        <w:t xml:space="preserve">COCC </w:t>
      </w:r>
      <w:r>
        <w:rPr>
          <w:rFonts w:cstheme="minorHAnsi"/>
          <w:bCs/>
        </w:rPr>
        <w:t xml:space="preserve">has defined the threshold for mission fulfillment </w:t>
      </w:r>
      <w:r w:rsidR="00A02D0D">
        <w:rPr>
          <w:rFonts w:cstheme="minorHAnsi"/>
          <w:bCs/>
        </w:rPr>
        <w:t>as</w:t>
      </w:r>
      <w:r>
        <w:rPr>
          <w:rFonts w:cstheme="minorHAnsi"/>
          <w:bCs/>
        </w:rPr>
        <w:t xml:space="preserve"> making positive progress towards the targets or ha</w:t>
      </w:r>
      <w:r w:rsidR="00A02D0D">
        <w:rPr>
          <w:rFonts w:cstheme="minorHAnsi"/>
          <w:bCs/>
        </w:rPr>
        <w:t>ving</w:t>
      </w:r>
      <w:r>
        <w:rPr>
          <w:rFonts w:cstheme="minorHAnsi"/>
          <w:bCs/>
        </w:rPr>
        <w:t xml:space="preserve"> an improvement plan in place where progress is not being made.</w:t>
      </w:r>
    </w:p>
    <w:p w14:paraId="5CF065BE" w14:textId="77777777" w:rsidR="006F5D43" w:rsidRDefault="006F5D43" w:rsidP="009C3199">
      <w:pPr>
        <w:rPr>
          <w:rFonts w:cstheme="minorHAnsi"/>
          <w:bCs/>
        </w:rPr>
      </w:pPr>
    </w:p>
    <w:p w14:paraId="35FB0F5C" w14:textId="77777777" w:rsidR="006F0FD0" w:rsidRDefault="006F0FD0" w:rsidP="009C3199">
      <w:pPr>
        <w:rPr>
          <w:rFonts w:cstheme="minorHAnsi"/>
          <w:bCs/>
          <w:u w:val="single"/>
        </w:rPr>
      </w:pPr>
      <w:r>
        <w:rPr>
          <w:rFonts w:cstheme="minorHAnsi"/>
          <w:bCs/>
          <w:u w:val="single"/>
        </w:rPr>
        <w:lastRenderedPageBreak/>
        <w:t>Presentation Timing</w:t>
      </w:r>
    </w:p>
    <w:p w14:paraId="06A20FC6" w14:textId="245FC352" w:rsidR="006F5D43" w:rsidRPr="000D7A58" w:rsidRDefault="00A02D0D" w:rsidP="009C3199">
      <w:pPr>
        <w:rPr>
          <w:rFonts w:cstheme="minorHAnsi"/>
          <w:bCs/>
        </w:rPr>
      </w:pPr>
      <w:r>
        <w:rPr>
          <w:rFonts w:cstheme="minorHAnsi"/>
          <w:bCs/>
        </w:rPr>
        <w:t>E</w:t>
      </w:r>
      <w:r w:rsidR="006F5D43">
        <w:rPr>
          <w:rFonts w:cstheme="minorHAnsi"/>
          <w:bCs/>
        </w:rPr>
        <w:t xml:space="preserve">arlier conversations indicated that the College would share information on progress towards targets each July. Given presidential transition, this was moved to the June 2025 Board meeting for this year only. However, going forward, staff recommend shifting this to the September Board of Directors’ meeting as </w:t>
      </w:r>
      <w:r>
        <w:rPr>
          <w:rFonts w:cstheme="minorHAnsi"/>
          <w:bCs/>
        </w:rPr>
        <w:t xml:space="preserve">much of the indicator data is not available until after the end of the academic year (e.g., graduation rate, online courses and program count, and college-sponsored events, among others). With this, providing the year-end summary in September allows </w:t>
      </w:r>
      <w:r w:rsidR="006F5D43">
        <w:rPr>
          <w:rFonts w:cstheme="minorHAnsi"/>
          <w:bCs/>
        </w:rPr>
        <w:t xml:space="preserve">staff time to adequately evaluate </w:t>
      </w:r>
      <w:r>
        <w:rPr>
          <w:rFonts w:cstheme="minorHAnsi"/>
          <w:bCs/>
        </w:rPr>
        <w:t xml:space="preserve">these </w:t>
      </w:r>
      <w:r w:rsidR="006F5D43">
        <w:rPr>
          <w:rFonts w:cstheme="minorHAnsi"/>
          <w:bCs/>
        </w:rPr>
        <w:t>indicators</w:t>
      </w:r>
      <w:r>
        <w:rPr>
          <w:rFonts w:cstheme="minorHAnsi"/>
          <w:bCs/>
        </w:rPr>
        <w:t>.</w:t>
      </w:r>
      <w:r w:rsidR="00A6760D">
        <w:rPr>
          <w:rFonts w:cstheme="minorHAnsi"/>
          <w:bCs/>
        </w:rPr>
        <w:t xml:space="preserve"> If the Board agrees, staff can do an update to this information item and/or presentation in September 2025, with future year reports occurring in September.</w:t>
      </w:r>
    </w:p>
    <w:p w14:paraId="2FE501DE" w14:textId="77777777" w:rsidR="00DD6F3C" w:rsidRPr="000D7A58" w:rsidRDefault="00DD6F3C" w:rsidP="00DD6F3C">
      <w:pPr>
        <w:ind w:left="360"/>
        <w:rPr>
          <w:rFonts w:cstheme="minorHAnsi"/>
          <w:bCs/>
        </w:rPr>
      </w:pPr>
    </w:p>
    <w:p w14:paraId="4F9CB47C" w14:textId="77777777" w:rsidR="009E1826" w:rsidRPr="000D7A58" w:rsidRDefault="00ED091B" w:rsidP="009E1826">
      <w:pPr>
        <w:shd w:val="clear" w:color="auto" w:fill="B4C6E7" w:themeFill="accent5" w:themeFillTint="66"/>
        <w:rPr>
          <w:rFonts w:cstheme="minorHAnsi"/>
          <w:bCs/>
        </w:rPr>
      </w:pPr>
      <w:r w:rsidRPr="000D7A58">
        <w:rPr>
          <w:rFonts w:cstheme="minorHAnsi"/>
          <w:b/>
        </w:rPr>
        <w:t>GOAL</w:t>
      </w:r>
      <w:r w:rsidR="009E1826" w:rsidRPr="000D7A58">
        <w:rPr>
          <w:rFonts w:cstheme="minorHAnsi"/>
          <w:b/>
        </w:rPr>
        <w:t xml:space="preserve"> - </w:t>
      </w:r>
      <w:r w:rsidRPr="000D7A58">
        <w:rPr>
          <w:rFonts w:cstheme="minorHAnsi"/>
          <w:b/>
        </w:rPr>
        <w:t>STUDENT-READY COLLEGE</w:t>
      </w:r>
      <w:r w:rsidR="009E1826" w:rsidRPr="000D7A58">
        <w:rPr>
          <w:rFonts w:cstheme="minorHAnsi"/>
          <w:b/>
        </w:rPr>
        <w:t xml:space="preserve">: </w:t>
      </w:r>
      <w:r w:rsidR="009E1826" w:rsidRPr="000D7A58">
        <w:rPr>
          <w:rFonts w:cstheme="minorHAnsi"/>
          <w:bCs/>
        </w:rPr>
        <w:t>COCC welcomes all students by addressing their individual needs and helping them achieve their goals.</w:t>
      </w:r>
    </w:p>
    <w:p w14:paraId="1762476E" w14:textId="49C4CFAA" w:rsidR="00B706E0" w:rsidRPr="000D7A58" w:rsidRDefault="00B706E0" w:rsidP="009E1826">
      <w:pPr>
        <w:rPr>
          <w:rFonts w:cstheme="minorHAnsi"/>
          <w:bCs/>
        </w:rPr>
      </w:pPr>
    </w:p>
    <w:p w14:paraId="3A0C05A9" w14:textId="0950062E" w:rsidR="00ED091B" w:rsidRPr="000D7A58" w:rsidRDefault="00ED091B" w:rsidP="00ED091B">
      <w:pPr>
        <w:shd w:val="clear" w:color="auto" w:fill="FFE599" w:themeFill="accent4" w:themeFillTint="66"/>
        <w:tabs>
          <w:tab w:val="right" w:pos="9360"/>
        </w:tabs>
        <w:rPr>
          <w:rFonts w:cstheme="minorHAnsi"/>
          <w:b/>
        </w:rPr>
      </w:pPr>
      <w:r w:rsidRPr="000D7A58">
        <w:rPr>
          <w:rFonts w:cstheme="minorHAnsi"/>
          <w:b/>
        </w:rPr>
        <w:t>Fall-to-Winter</w:t>
      </w:r>
      <w:r w:rsidR="00777679">
        <w:rPr>
          <w:rFonts w:cstheme="minorHAnsi"/>
          <w:b/>
        </w:rPr>
        <w:t xml:space="preserve"> Retention</w:t>
      </w:r>
      <w:r w:rsidRPr="000D7A58">
        <w:rPr>
          <w:rFonts w:cstheme="minorHAnsi"/>
          <w:b/>
        </w:rPr>
        <w:tab/>
        <w:t>Annemarie Hamlin &amp; Alicia Moore</w:t>
      </w:r>
    </w:p>
    <w:p w14:paraId="2E9970DD" w14:textId="4F8BA8F3" w:rsidR="00ED091B" w:rsidRPr="000D7A58" w:rsidRDefault="00ED091B" w:rsidP="00ED091B">
      <w:pPr>
        <w:rPr>
          <w:rFonts w:cstheme="minorHAnsi"/>
          <w:bCs/>
        </w:rPr>
      </w:pPr>
    </w:p>
    <w:p w14:paraId="3BDD43E0" w14:textId="0F6BC2C5" w:rsidR="00ED091B" w:rsidRPr="000D7A58" w:rsidRDefault="00ED091B" w:rsidP="00ED091B">
      <w:pPr>
        <w:rPr>
          <w:rFonts w:cstheme="minorHAnsi"/>
          <w:bCs/>
        </w:rPr>
      </w:pPr>
      <w:r w:rsidRPr="000D7A58">
        <w:rPr>
          <w:rFonts w:cstheme="minorHAnsi"/>
          <w:bCs/>
          <w:u w:val="single"/>
        </w:rPr>
        <w:t>Rationale for Indicator</w:t>
      </w:r>
      <w:r w:rsidR="009C6A7B" w:rsidRPr="000D7A58">
        <w:rPr>
          <w:rFonts w:cstheme="minorHAnsi"/>
          <w:bCs/>
          <w:u w:val="single"/>
        </w:rPr>
        <w:t>s:</w:t>
      </w:r>
      <w:r w:rsidR="009C6A7B" w:rsidRPr="000D7A58">
        <w:rPr>
          <w:rFonts w:cstheme="minorHAnsi"/>
          <w:bCs/>
        </w:rPr>
        <w:t xml:space="preserve"> </w:t>
      </w:r>
      <w:r w:rsidR="00650D77" w:rsidRPr="000D7A58">
        <w:rPr>
          <w:rFonts w:cstheme="minorHAnsi"/>
          <w:bCs/>
        </w:rPr>
        <w:t>First-term retention is a</w:t>
      </w:r>
      <w:r w:rsidR="00650D77" w:rsidRPr="000D7A58">
        <w:t xml:space="preserve"> common student success indicator in higher education, helping institutions measure whether students are making early progress towards educational goals. While numerous supports contribute towards a student’s success, COCC’s upcoming Guided Pathways work supports the College’s Student-Ready goal and is intentionally designed to help students choose, enter and engage in activities to foster early success.</w:t>
      </w:r>
    </w:p>
    <w:p w14:paraId="2D5087DE" w14:textId="05792B71" w:rsidR="00ED091B" w:rsidRPr="000D7A58" w:rsidRDefault="00ED091B" w:rsidP="00ED091B">
      <w:pPr>
        <w:rPr>
          <w:rFonts w:cstheme="minorHAnsi"/>
          <w:bCs/>
          <w:u w:val="single"/>
        </w:rPr>
      </w:pPr>
    </w:p>
    <w:p w14:paraId="190FF7D3" w14:textId="6C32FE8C" w:rsidR="009C6A7B" w:rsidRPr="000D7A58" w:rsidRDefault="00ED091B" w:rsidP="00ED091B">
      <w:pPr>
        <w:rPr>
          <w:rFonts w:cstheme="minorHAnsi"/>
          <w:bCs/>
        </w:rPr>
      </w:pPr>
      <w:r w:rsidRPr="000D7A58">
        <w:rPr>
          <w:rFonts w:cstheme="minorHAnsi"/>
          <w:bCs/>
          <w:u w:val="single"/>
        </w:rPr>
        <w:t>Definition</w:t>
      </w:r>
      <w:r w:rsidR="009C6A7B" w:rsidRPr="000D7A58">
        <w:rPr>
          <w:rFonts w:cstheme="minorHAnsi"/>
          <w:bCs/>
          <w:u w:val="single"/>
        </w:rPr>
        <w:t>:</w:t>
      </w:r>
      <w:r w:rsidR="009C6A7B" w:rsidRPr="000D7A58">
        <w:rPr>
          <w:rFonts w:cstheme="minorHAnsi"/>
          <w:bCs/>
        </w:rPr>
        <w:t xml:space="preserve"> </w:t>
      </w:r>
      <w:r w:rsidR="00650D77" w:rsidRPr="006565E6">
        <w:t>Degree-seeking students with no prior college experience, excluding high school dual enrollment</w:t>
      </w:r>
      <w:r w:rsidR="00A6760D">
        <w:t xml:space="preserve"> credits</w:t>
      </w:r>
      <w:r w:rsidR="00650D77" w:rsidRPr="006565E6">
        <w:t xml:space="preserve">, who took their </w:t>
      </w:r>
      <w:r w:rsidR="00650D77" w:rsidRPr="006565E6">
        <w:rPr>
          <w:i/>
          <w:iCs/>
        </w:rPr>
        <w:t>first</w:t>
      </w:r>
      <w:r w:rsidR="00650D77" w:rsidRPr="006565E6">
        <w:t xml:space="preserve"> credit course in fall and reenrolled the subsequent winter term.</w:t>
      </w:r>
    </w:p>
    <w:p w14:paraId="44164BB1" w14:textId="26629A7F" w:rsidR="009E1826" w:rsidRPr="000D7A58" w:rsidRDefault="009E1826" w:rsidP="00ED091B">
      <w:pPr>
        <w:rPr>
          <w:rFonts w:cstheme="minorHAnsi"/>
          <w:bCs/>
        </w:rPr>
      </w:pPr>
    </w:p>
    <w:p w14:paraId="5472AA79" w14:textId="4C5A8520" w:rsidR="006358D1" w:rsidRPr="000D7A58" w:rsidRDefault="00ED091B" w:rsidP="00ED091B">
      <w:pPr>
        <w:rPr>
          <w:rFonts w:cstheme="minorHAnsi"/>
          <w:bCs/>
        </w:rPr>
      </w:pPr>
      <w:r w:rsidRPr="000D7A58">
        <w:rPr>
          <w:rFonts w:cstheme="minorHAnsi"/>
          <w:bCs/>
          <w:u w:val="single"/>
        </w:rPr>
        <w:t>Targets</w:t>
      </w:r>
      <w:r w:rsidR="00D834FC" w:rsidRPr="000D7A58">
        <w:rPr>
          <w:rFonts w:cstheme="minorHAnsi"/>
          <w:bCs/>
          <w:u w:val="single"/>
        </w:rPr>
        <w:t>:</w:t>
      </w:r>
      <w:r w:rsidR="00D834FC" w:rsidRPr="000D7A58">
        <w:rPr>
          <w:rFonts w:cstheme="minorHAnsi"/>
          <w:bCs/>
        </w:rPr>
        <w:t xml:space="preserve"> COCC’s fall 2021 cohort fall-to-winter retention rate was 77%, while our Oregon Guided Pathways peer institution average was 74%. COCC’s Guided Pathways work will not fully launch until fall 2026, with first results of that seen in winter 2027 retention rates.</w:t>
      </w:r>
      <w:r w:rsidR="006358D1" w:rsidRPr="000D7A58">
        <w:rPr>
          <w:rFonts w:cstheme="minorHAnsi"/>
          <w:bCs/>
        </w:rPr>
        <w:t xml:space="preserve"> Therefore</w:t>
      </w:r>
      <w:r w:rsidR="00D834FC" w:rsidRPr="000D7A58">
        <w:rPr>
          <w:rFonts w:cstheme="minorHAnsi"/>
          <w:bCs/>
        </w:rPr>
        <w:t xml:space="preserve">, our goal is to maintain a retention rate greater than our peers, adjusting that to a higher rate </w:t>
      </w:r>
      <w:r w:rsidR="006358D1" w:rsidRPr="000D7A58">
        <w:rPr>
          <w:rFonts w:cstheme="minorHAnsi"/>
          <w:bCs/>
        </w:rPr>
        <w:t xml:space="preserve">for the </w:t>
      </w:r>
      <w:r w:rsidR="00A93380" w:rsidRPr="000D7A58">
        <w:rPr>
          <w:rFonts w:cstheme="minorHAnsi"/>
          <w:bCs/>
        </w:rPr>
        <w:t>fall 2026 cohort</w:t>
      </w:r>
      <w:r w:rsidR="006358D1" w:rsidRPr="000D7A58">
        <w:rPr>
          <w:rFonts w:cstheme="minorHAnsi"/>
          <w:bCs/>
        </w:rPr>
        <w:t>. With this, specific targets are:</w:t>
      </w:r>
    </w:p>
    <w:p w14:paraId="5DECA21A" w14:textId="77777777" w:rsidR="006358D1" w:rsidRPr="000D7A58" w:rsidRDefault="006358D1" w:rsidP="00ED091B">
      <w:pPr>
        <w:rPr>
          <w:rFonts w:cstheme="minorHAnsi"/>
          <w:bCs/>
        </w:rPr>
      </w:pPr>
    </w:p>
    <w:tbl>
      <w:tblPr>
        <w:tblStyle w:val="TableGrid"/>
        <w:tblW w:w="0" w:type="auto"/>
        <w:tblLook w:val="04A0" w:firstRow="1" w:lastRow="0" w:firstColumn="1" w:lastColumn="0" w:noHBand="0" w:noVBand="1"/>
      </w:tblPr>
      <w:tblGrid>
        <w:gridCol w:w="1615"/>
        <w:gridCol w:w="1800"/>
        <w:gridCol w:w="2070"/>
        <w:gridCol w:w="1890"/>
        <w:gridCol w:w="1975"/>
      </w:tblGrid>
      <w:tr w:rsidR="00D16ED4" w:rsidRPr="000D7A58" w14:paraId="5B02CBA6" w14:textId="77777777" w:rsidTr="00D16ED4">
        <w:tc>
          <w:tcPr>
            <w:tcW w:w="1615" w:type="dxa"/>
            <w:tcBorders>
              <w:top w:val="nil"/>
              <w:left w:val="nil"/>
              <w:bottom w:val="nil"/>
              <w:right w:val="single" w:sz="4" w:space="0" w:color="auto"/>
            </w:tcBorders>
          </w:tcPr>
          <w:p w14:paraId="5160A6A8" w14:textId="77777777" w:rsidR="00D16ED4" w:rsidRPr="000D7A58" w:rsidRDefault="00D16ED4" w:rsidP="00ED091B">
            <w:pPr>
              <w:rPr>
                <w:rFonts w:cstheme="minorHAnsi"/>
                <w:bCs/>
              </w:rPr>
            </w:pPr>
          </w:p>
        </w:tc>
        <w:tc>
          <w:tcPr>
            <w:tcW w:w="1800" w:type="dxa"/>
            <w:tcBorders>
              <w:left w:val="single" w:sz="4" w:space="0" w:color="auto"/>
              <w:bottom w:val="single" w:sz="4" w:space="0" w:color="auto"/>
            </w:tcBorders>
          </w:tcPr>
          <w:p w14:paraId="03E654A6" w14:textId="592068A3" w:rsidR="00D16ED4" w:rsidRPr="000D7A58" w:rsidRDefault="00D16ED4" w:rsidP="00777679">
            <w:pPr>
              <w:jc w:val="center"/>
              <w:rPr>
                <w:rFonts w:cstheme="minorHAnsi"/>
                <w:bCs/>
              </w:rPr>
            </w:pPr>
            <w:r>
              <w:rPr>
                <w:rFonts w:cstheme="minorHAnsi"/>
                <w:bCs/>
              </w:rPr>
              <w:t>Original</w:t>
            </w:r>
          </w:p>
        </w:tc>
        <w:tc>
          <w:tcPr>
            <w:tcW w:w="5935" w:type="dxa"/>
            <w:gridSpan w:val="3"/>
            <w:tcBorders>
              <w:bottom w:val="single" w:sz="4" w:space="0" w:color="auto"/>
            </w:tcBorders>
          </w:tcPr>
          <w:p w14:paraId="39E32B59" w14:textId="17794DA4" w:rsidR="00D16ED4" w:rsidRPr="000D7A58" w:rsidRDefault="00D16ED4" w:rsidP="00777679">
            <w:pPr>
              <w:jc w:val="center"/>
              <w:rPr>
                <w:rFonts w:cstheme="minorHAnsi"/>
                <w:bCs/>
              </w:rPr>
            </w:pPr>
            <w:r>
              <w:rPr>
                <w:rFonts w:cstheme="minorHAnsi"/>
                <w:bCs/>
              </w:rPr>
              <w:t>Updated</w:t>
            </w:r>
          </w:p>
        </w:tc>
      </w:tr>
      <w:tr w:rsidR="006358D1" w:rsidRPr="000D7A58" w14:paraId="033F6369" w14:textId="77777777" w:rsidTr="00D16ED4">
        <w:tc>
          <w:tcPr>
            <w:tcW w:w="1615" w:type="dxa"/>
            <w:tcBorders>
              <w:top w:val="nil"/>
              <w:left w:val="nil"/>
              <w:bottom w:val="double" w:sz="4" w:space="0" w:color="auto"/>
              <w:right w:val="single" w:sz="4" w:space="0" w:color="auto"/>
            </w:tcBorders>
          </w:tcPr>
          <w:p w14:paraId="664BD2F1" w14:textId="77777777" w:rsidR="006358D1" w:rsidRPr="000D7A58" w:rsidRDefault="006358D1" w:rsidP="00ED091B">
            <w:pPr>
              <w:rPr>
                <w:rFonts w:cstheme="minorHAnsi"/>
                <w:bCs/>
              </w:rPr>
            </w:pPr>
          </w:p>
        </w:tc>
        <w:tc>
          <w:tcPr>
            <w:tcW w:w="1800" w:type="dxa"/>
            <w:tcBorders>
              <w:top w:val="single" w:sz="4" w:space="0" w:color="auto"/>
              <w:left w:val="single" w:sz="4" w:space="0" w:color="auto"/>
              <w:bottom w:val="double" w:sz="4" w:space="0" w:color="auto"/>
            </w:tcBorders>
          </w:tcPr>
          <w:p w14:paraId="58090423" w14:textId="2FE10364" w:rsidR="006358D1" w:rsidRPr="000D7A58" w:rsidRDefault="006358D1" w:rsidP="00777679">
            <w:pPr>
              <w:jc w:val="center"/>
              <w:rPr>
                <w:rFonts w:cstheme="minorHAnsi"/>
                <w:bCs/>
              </w:rPr>
            </w:pPr>
            <w:r w:rsidRPr="000D7A58">
              <w:rPr>
                <w:rFonts w:cstheme="minorHAnsi"/>
                <w:bCs/>
              </w:rPr>
              <w:t>2023-24</w:t>
            </w:r>
          </w:p>
        </w:tc>
        <w:tc>
          <w:tcPr>
            <w:tcW w:w="2070" w:type="dxa"/>
            <w:tcBorders>
              <w:top w:val="single" w:sz="4" w:space="0" w:color="auto"/>
              <w:bottom w:val="double" w:sz="4" w:space="0" w:color="auto"/>
            </w:tcBorders>
          </w:tcPr>
          <w:p w14:paraId="6CF09BC3" w14:textId="0FCFC1AB" w:rsidR="006358D1" w:rsidRPr="000D7A58" w:rsidRDefault="006358D1" w:rsidP="00777679">
            <w:pPr>
              <w:jc w:val="center"/>
              <w:rPr>
                <w:rFonts w:cstheme="minorHAnsi"/>
                <w:bCs/>
              </w:rPr>
            </w:pPr>
            <w:r w:rsidRPr="000D7A58">
              <w:rPr>
                <w:rFonts w:cstheme="minorHAnsi"/>
                <w:bCs/>
              </w:rPr>
              <w:t>2024-25</w:t>
            </w:r>
          </w:p>
        </w:tc>
        <w:tc>
          <w:tcPr>
            <w:tcW w:w="1890" w:type="dxa"/>
            <w:tcBorders>
              <w:top w:val="single" w:sz="4" w:space="0" w:color="auto"/>
              <w:bottom w:val="double" w:sz="4" w:space="0" w:color="auto"/>
            </w:tcBorders>
          </w:tcPr>
          <w:p w14:paraId="65947B01" w14:textId="04144B49" w:rsidR="006358D1" w:rsidRPr="000D7A58" w:rsidRDefault="006358D1" w:rsidP="00777679">
            <w:pPr>
              <w:jc w:val="center"/>
              <w:rPr>
                <w:rFonts w:cstheme="minorHAnsi"/>
                <w:bCs/>
              </w:rPr>
            </w:pPr>
            <w:r w:rsidRPr="000D7A58">
              <w:rPr>
                <w:rFonts w:cstheme="minorHAnsi"/>
                <w:bCs/>
              </w:rPr>
              <w:t>2025-26</w:t>
            </w:r>
          </w:p>
        </w:tc>
        <w:tc>
          <w:tcPr>
            <w:tcW w:w="1975" w:type="dxa"/>
            <w:tcBorders>
              <w:top w:val="single" w:sz="4" w:space="0" w:color="auto"/>
              <w:bottom w:val="double" w:sz="4" w:space="0" w:color="auto"/>
            </w:tcBorders>
          </w:tcPr>
          <w:p w14:paraId="0C3FB640" w14:textId="6DC097F2" w:rsidR="006358D1" w:rsidRPr="000D7A58" w:rsidRDefault="006358D1" w:rsidP="00777679">
            <w:pPr>
              <w:jc w:val="center"/>
              <w:rPr>
                <w:rFonts w:cstheme="minorHAnsi"/>
                <w:bCs/>
              </w:rPr>
            </w:pPr>
            <w:r w:rsidRPr="000D7A58">
              <w:rPr>
                <w:rFonts w:cstheme="minorHAnsi"/>
                <w:bCs/>
              </w:rPr>
              <w:t>2026-27</w:t>
            </w:r>
          </w:p>
        </w:tc>
      </w:tr>
      <w:tr w:rsidR="006358D1" w:rsidRPr="000D7A58" w14:paraId="0278EF48" w14:textId="77777777" w:rsidTr="00DA0A03">
        <w:trPr>
          <w:trHeight w:val="258"/>
        </w:trPr>
        <w:tc>
          <w:tcPr>
            <w:tcW w:w="1615" w:type="dxa"/>
            <w:tcBorders>
              <w:top w:val="double" w:sz="4" w:space="0" w:color="auto"/>
            </w:tcBorders>
          </w:tcPr>
          <w:p w14:paraId="3B5ABCE7" w14:textId="21796038" w:rsidR="006358D1" w:rsidRPr="000D7A58" w:rsidRDefault="006358D1" w:rsidP="006358D1">
            <w:r w:rsidRPr="000D7A58">
              <w:t>Met</w:t>
            </w:r>
          </w:p>
        </w:tc>
        <w:tc>
          <w:tcPr>
            <w:tcW w:w="1800" w:type="dxa"/>
            <w:tcBorders>
              <w:top w:val="double" w:sz="4" w:space="0" w:color="auto"/>
            </w:tcBorders>
          </w:tcPr>
          <w:p w14:paraId="4C5E386D" w14:textId="77777777" w:rsidR="006358D1" w:rsidRPr="000D7A58" w:rsidRDefault="006358D1" w:rsidP="00777679">
            <w:pPr>
              <w:jc w:val="center"/>
            </w:pPr>
            <w:r w:rsidRPr="000D7A58">
              <w:t>74% or greater</w:t>
            </w:r>
          </w:p>
        </w:tc>
        <w:tc>
          <w:tcPr>
            <w:tcW w:w="2070" w:type="dxa"/>
            <w:tcBorders>
              <w:top w:val="double" w:sz="4" w:space="0" w:color="auto"/>
            </w:tcBorders>
          </w:tcPr>
          <w:p w14:paraId="0E08DDB3" w14:textId="37D2C7DA" w:rsidR="006358D1" w:rsidRPr="000D7A58" w:rsidRDefault="006358D1" w:rsidP="00777679">
            <w:pPr>
              <w:jc w:val="center"/>
            </w:pPr>
            <w:r w:rsidRPr="000D7A58">
              <w:t>74% or greater</w:t>
            </w:r>
          </w:p>
        </w:tc>
        <w:tc>
          <w:tcPr>
            <w:tcW w:w="1890" w:type="dxa"/>
            <w:tcBorders>
              <w:top w:val="double" w:sz="4" w:space="0" w:color="auto"/>
            </w:tcBorders>
          </w:tcPr>
          <w:p w14:paraId="0F5F6FD8" w14:textId="10868A3C" w:rsidR="006358D1" w:rsidRPr="000D7A58" w:rsidRDefault="006358D1" w:rsidP="00777679">
            <w:pPr>
              <w:jc w:val="center"/>
            </w:pPr>
            <w:r w:rsidRPr="000D7A58">
              <w:t>74% or greater</w:t>
            </w:r>
          </w:p>
        </w:tc>
        <w:tc>
          <w:tcPr>
            <w:tcW w:w="1975" w:type="dxa"/>
            <w:tcBorders>
              <w:top w:val="double" w:sz="4" w:space="0" w:color="auto"/>
            </w:tcBorders>
          </w:tcPr>
          <w:p w14:paraId="5B5261A5" w14:textId="1B8F79DE" w:rsidR="006358D1" w:rsidRPr="000D7A58" w:rsidRDefault="006358D1" w:rsidP="00777679">
            <w:pPr>
              <w:jc w:val="center"/>
              <w:rPr>
                <w:rFonts w:cstheme="minorHAnsi"/>
                <w:bCs/>
              </w:rPr>
            </w:pPr>
            <w:r w:rsidRPr="000D7A58">
              <w:rPr>
                <w:rFonts w:cstheme="minorHAnsi"/>
                <w:bCs/>
              </w:rPr>
              <w:t>75%</w:t>
            </w:r>
            <w:r w:rsidR="00DF255F" w:rsidRPr="000D7A58">
              <w:rPr>
                <w:rFonts w:cstheme="minorHAnsi"/>
                <w:bCs/>
              </w:rPr>
              <w:t xml:space="preserve"> or greater</w:t>
            </w:r>
          </w:p>
        </w:tc>
      </w:tr>
      <w:tr w:rsidR="006358D1" w:rsidRPr="000D7A58" w14:paraId="60458036" w14:textId="77777777" w:rsidTr="00DF255F">
        <w:tc>
          <w:tcPr>
            <w:tcW w:w="1615" w:type="dxa"/>
          </w:tcPr>
          <w:p w14:paraId="5AEA578D" w14:textId="36F3F0A3" w:rsidR="006358D1" w:rsidRPr="000D7A58" w:rsidRDefault="006358D1" w:rsidP="006358D1">
            <w:r w:rsidRPr="000D7A58">
              <w:t>Almost Met</w:t>
            </w:r>
          </w:p>
        </w:tc>
        <w:tc>
          <w:tcPr>
            <w:tcW w:w="1800" w:type="dxa"/>
          </w:tcPr>
          <w:p w14:paraId="6B2D9516" w14:textId="37368BBE" w:rsidR="006358D1" w:rsidRPr="000D7A58" w:rsidRDefault="006358D1" w:rsidP="00777679">
            <w:pPr>
              <w:jc w:val="center"/>
            </w:pPr>
            <w:r w:rsidRPr="000D7A58">
              <w:t>71 – 74%</w:t>
            </w:r>
          </w:p>
        </w:tc>
        <w:tc>
          <w:tcPr>
            <w:tcW w:w="2070" w:type="dxa"/>
          </w:tcPr>
          <w:p w14:paraId="4EBD6E2B" w14:textId="2C49C10D" w:rsidR="006358D1" w:rsidRPr="000D7A58" w:rsidRDefault="006358D1" w:rsidP="00777679">
            <w:pPr>
              <w:jc w:val="center"/>
            </w:pPr>
            <w:r w:rsidRPr="000D7A58">
              <w:t>71 – 74%</w:t>
            </w:r>
          </w:p>
        </w:tc>
        <w:tc>
          <w:tcPr>
            <w:tcW w:w="1890" w:type="dxa"/>
          </w:tcPr>
          <w:p w14:paraId="54384727" w14:textId="1471EC87" w:rsidR="006358D1" w:rsidRPr="000D7A58" w:rsidRDefault="006358D1" w:rsidP="00777679">
            <w:pPr>
              <w:jc w:val="center"/>
            </w:pPr>
            <w:r w:rsidRPr="000D7A58">
              <w:t>71 – 74%</w:t>
            </w:r>
          </w:p>
        </w:tc>
        <w:tc>
          <w:tcPr>
            <w:tcW w:w="1975" w:type="dxa"/>
          </w:tcPr>
          <w:p w14:paraId="0E0E93B7" w14:textId="11DF96DA" w:rsidR="006358D1" w:rsidRPr="000D7A58" w:rsidRDefault="006358D1" w:rsidP="00777679">
            <w:pPr>
              <w:jc w:val="center"/>
              <w:rPr>
                <w:rFonts w:cstheme="minorHAnsi"/>
                <w:bCs/>
              </w:rPr>
            </w:pPr>
            <w:r w:rsidRPr="000D7A58">
              <w:rPr>
                <w:rFonts w:cstheme="minorHAnsi"/>
                <w:bCs/>
              </w:rPr>
              <w:t>72-75%</w:t>
            </w:r>
          </w:p>
        </w:tc>
      </w:tr>
      <w:tr w:rsidR="006358D1" w:rsidRPr="000D7A58" w14:paraId="3DE78556" w14:textId="77777777" w:rsidTr="00D16ED4">
        <w:tc>
          <w:tcPr>
            <w:tcW w:w="1615" w:type="dxa"/>
            <w:tcBorders>
              <w:bottom w:val="double" w:sz="4" w:space="0" w:color="auto"/>
            </w:tcBorders>
          </w:tcPr>
          <w:p w14:paraId="00CE8C0E" w14:textId="47636A77" w:rsidR="006358D1" w:rsidRPr="000D7A58" w:rsidRDefault="006358D1" w:rsidP="006358D1">
            <w:r w:rsidRPr="000D7A58">
              <w:t>Not Met</w:t>
            </w:r>
          </w:p>
        </w:tc>
        <w:tc>
          <w:tcPr>
            <w:tcW w:w="1800" w:type="dxa"/>
            <w:tcBorders>
              <w:bottom w:val="double" w:sz="4" w:space="0" w:color="auto"/>
            </w:tcBorders>
          </w:tcPr>
          <w:p w14:paraId="0EDFAFD5" w14:textId="02664AB6" w:rsidR="006358D1" w:rsidRPr="000D7A58" w:rsidRDefault="006358D1" w:rsidP="00777679">
            <w:pPr>
              <w:jc w:val="center"/>
            </w:pPr>
            <w:r w:rsidRPr="000D7A58">
              <w:t>Below 71%</w:t>
            </w:r>
          </w:p>
        </w:tc>
        <w:tc>
          <w:tcPr>
            <w:tcW w:w="2070" w:type="dxa"/>
            <w:tcBorders>
              <w:bottom w:val="double" w:sz="4" w:space="0" w:color="auto"/>
            </w:tcBorders>
          </w:tcPr>
          <w:p w14:paraId="36694171" w14:textId="247FD4CF" w:rsidR="006358D1" w:rsidRPr="000D7A58" w:rsidRDefault="006358D1" w:rsidP="00777679">
            <w:pPr>
              <w:jc w:val="center"/>
            </w:pPr>
            <w:r w:rsidRPr="000D7A58">
              <w:t>Below 71%</w:t>
            </w:r>
          </w:p>
        </w:tc>
        <w:tc>
          <w:tcPr>
            <w:tcW w:w="1890" w:type="dxa"/>
            <w:tcBorders>
              <w:bottom w:val="double" w:sz="4" w:space="0" w:color="auto"/>
            </w:tcBorders>
          </w:tcPr>
          <w:p w14:paraId="7F0060D4" w14:textId="718BAA84" w:rsidR="006358D1" w:rsidRPr="000D7A58" w:rsidRDefault="006358D1" w:rsidP="00777679">
            <w:pPr>
              <w:jc w:val="center"/>
            </w:pPr>
            <w:r w:rsidRPr="000D7A58">
              <w:t>Below 71%</w:t>
            </w:r>
          </w:p>
        </w:tc>
        <w:tc>
          <w:tcPr>
            <w:tcW w:w="1975" w:type="dxa"/>
            <w:tcBorders>
              <w:bottom w:val="double" w:sz="4" w:space="0" w:color="auto"/>
            </w:tcBorders>
          </w:tcPr>
          <w:p w14:paraId="4C8FA631" w14:textId="6B5B5A15" w:rsidR="006358D1" w:rsidRPr="000D7A58" w:rsidRDefault="006358D1" w:rsidP="00777679">
            <w:pPr>
              <w:jc w:val="center"/>
              <w:rPr>
                <w:rFonts w:cstheme="minorHAnsi"/>
                <w:bCs/>
              </w:rPr>
            </w:pPr>
            <w:r w:rsidRPr="000D7A58">
              <w:rPr>
                <w:rFonts w:cstheme="minorHAnsi"/>
                <w:bCs/>
              </w:rPr>
              <w:t>Below 72%</w:t>
            </w:r>
          </w:p>
        </w:tc>
      </w:tr>
    </w:tbl>
    <w:p w14:paraId="7C5A0754" w14:textId="47B20CA5" w:rsidR="00ED091B" w:rsidRDefault="006358D1" w:rsidP="00ED091B">
      <w:pPr>
        <w:rPr>
          <w:rFonts w:cstheme="minorHAnsi"/>
          <w:bCs/>
        </w:rPr>
      </w:pPr>
      <w:r w:rsidRPr="000D7A58">
        <w:rPr>
          <w:rFonts w:cstheme="minorHAnsi"/>
          <w:bCs/>
        </w:rPr>
        <w:t xml:space="preserve"> </w:t>
      </w:r>
    </w:p>
    <w:p w14:paraId="149BDEA0" w14:textId="248570C3" w:rsidR="00D14FE8" w:rsidRPr="00D14FE8" w:rsidRDefault="00D14FE8" w:rsidP="00ED091B">
      <w:pPr>
        <w:rPr>
          <w:rFonts w:cstheme="minorHAnsi"/>
          <w:bCs/>
        </w:rPr>
      </w:pPr>
      <w:r>
        <w:rPr>
          <w:rFonts w:cstheme="minorHAnsi"/>
          <w:bCs/>
          <w:u w:val="single"/>
        </w:rPr>
        <w:t>Peer Institutions</w:t>
      </w:r>
      <w:r>
        <w:rPr>
          <w:rFonts w:cstheme="minorHAnsi"/>
          <w:bCs/>
        </w:rPr>
        <w:t>: COCC’s peer institutions for this indicator are determined by the Oregon Community College Student Success Center and include Lane Community College, Linn-Benton Community College, and Umpqua Community College. The average fall-to-winter retention rate amongst this group, inclusive of COCC, is 74%.</w:t>
      </w:r>
    </w:p>
    <w:p w14:paraId="4D85BFF1" w14:textId="77777777" w:rsidR="00D14FE8" w:rsidRPr="000D7A58" w:rsidRDefault="00D14FE8" w:rsidP="00ED091B">
      <w:pPr>
        <w:rPr>
          <w:rFonts w:cstheme="minorHAnsi"/>
          <w:bCs/>
        </w:rPr>
      </w:pPr>
    </w:p>
    <w:p w14:paraId="35E7F675" w14:textId="657080AF" w:rsidR="00ED091B" w:rsidRDefault="00650D77" w:rsidP="00ED091B">
      <w:pPr>
        <w:rPr>
          <w:rFonts w:cstheme="minorHAnsi"/>
          <w:bCs/>
        </w:rPr>
      </w:pPr>
      <w:r w:rsidRPr="00650D77">
        <w:rPr>
          <w:rFonts w:cstheme="minorHAnsi"/>
          <w:bCs/>
          <w:u w:val="single"/>
        </w:rPr>
        <w:t>Progress</w:t>
      </w:r>
      <w:r>
        <w:rPr>
          <w:rFonts w:cstheme="minorHAnsi"/>
          <w:bCs/>
        </w:rPr>
        <w:t>: COCC met its target for the fall 2023 cohort, with 74% of students retained from fall to winter terms. It did so again with the fall 2024 cohort, with 76% of students retained</w:t>
      </w:r>
      <w:r w:rsidR="00010199">
        <w:rPr>
          <w:rFonts w:cstheme="minorHAnsi"/>
          <w:bCs/>
        </w:rPr>
        <w:t xml:space="preserve"> until winter 2025</w:t>
      </w:r>
      <w:r>
        <w:rPr>
          <w:rFonts w:cstheme="minorHAnsi"/>
          <w:bCs/>
        </w:rPr>
        <w:t>.</w:t>
      </w:r>
    </w:p>
    <w:p w14:paraId="4604876D" w14:textId="36CC4753" w:rsidR="00650D77" w:rsidRDefault="00650D77" w:rsidP="00ED091B">
      <w:pPr>
        <w:rPr>
          <w:rFonts w:cstheme="minorHAnsi"/>
          <w:bCs/>
        </w:rPr>
      </w:pPr>
    </w:p>
    <w:p w14:paraId="396545F4" w14:textId="7E7C13D9"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Fall-to-Fall Retention</w:t>
      </w:r>
      <w:r w:rsidRPr="000D7A58">
        <w:rPr>
          <w:rFonts w:cstheme="minorHAnsi"/>
          <w:b/>
        </w:rPr>
        <w:tab/>
        <w:t>Annemarie Hamlin &amp; Alicia Moore</w:t>
      </w:r>
    </w:p>
    <w:p w14:paraId="7D396EE3" w14:textId="77777777" w:rsidR="009E1826" w:rsidRPr="000D7A58" w:rsidRDefault="009E1826" w:rsidP="009E1826">
      <w:pPr>
        <w:rPr>
          <w:rFonts w:cstheme="minorHAnsi"/>
          <w:bCs/>
        </w:rPr>
      </w:pPr>
    </w:p>
    <w:p w14:paraId="6BE59B3C" w14:textId="1D7EFA3F" w:rsidR="00855008" w:rsidRPr="000D7A58" w:rsidRDefault="009E1826" w:rsidP="00DD66BD">
      <w:r w:rsidRPr="000D7A58">
        <w:rPr>
          <w:rFonts w:cstheme="minorHAnsi"/>
          <w:bCs/>
          <w:u w:val="single"/>
        </w:rPr>
        <w:lastRenderedPageBreak/>
        <w:t>Rationale for Indicator</w:t>
      </w:r>
      <w:r w:rsidR="005510F0" w:rsidRPr="006F0FD0">
        <w:rPr>
          <w:rFonts w:cstheme="minorHAnsi"/>
          <w:bCs/>
        </w:rPr>
        <w:t>:</w:t>
      </w:r>
      <w:r w:rsidR="005510F0" w:rsidRPr="000D7A58">
        <w:rPr>
          <w:rFonts w:cstheme="minorHAnsi"/>
          <w:bCs/>
        </w:rPr>
        <w:t xml:space="preserve"> </w:t>
      </w:r>
      <w:r w:rsidR="00DD66BD" w:rsidRPr="000D7A58">
        <w:rPr>
          <w:rFonts w:cstheme="minorHAnsi"/>
          <w:bCs/>
        </w:rPr>
        <w:t>Like first-term retention, f</w:t>
      </w:r>
      <w:r w:rsidR="00DD66BD" w:rsidRPr="000D7A58">
        <w:t>all-to-fall retention is a common indicator in higher education to help institutions measure student persistence. Several 2023-27 Strategic Plan action projects will contribute towards an eventual increase in fall-to-fall retention rates, although many of those will not be realized until towards the end of the strategic plan given the implementation timelines. Moreover, both research and practice indicate that major retention initiatives typically take one to three years before an institution experiences positive gains.</w:t>
      </w:r>
    </w:p>
    <w:p w14:paraId="6720A8F8" w14:textId="77777777" w:rsidR="005510F0" w:rsidRPr="000D7A58" w:rsidRDefault="005510F0" w:rsidP="005510F0"/>
    <w:p w14:paraId="1FEC5033" w14:textId="3C7FDB03" w:rsidR="00DD66BD" w:rsidRPr="00F24B72" w:rsidRDefault="009E1826" w:rsidP="00DD66BD">
      <w:r w:rsidRPr="000D7A58">
        <w:rPr>
          <w:rFonts w:cstheme="minorHAnsi"/>
          <w:bCs/>
          <w:u w:val="single"/>
        </w:rPr>
        <w:t>Definition</w:t>
      </w:r>
      <w:r w:rsidR="00855008" w:rsidRPr="006F0FD0">
        <w:rPr>
          <w:rFonts w:cstheme="minorHAnsi"/>
          <w:bCs/>
        </w:rPr>
        <w:t>:</w:t>
      </w:r>
      <w:r w:rsidR="00855008" w:rsidRPr="000D7A58">
        <w:rPr>
          <w:rFonts w:cstheme="minorHAnsi"/>
          <w:bCs/>
        </w:rPr>
        <w:t xml:space="preserve"> </w:t>
      </w:r>
      <w:r w:rsidR="00DD66BD" w:rsidRPr="00901B33">
        <w:rPr>
          <w:rFonts w:cstheme="minorHAnsi"/>
          <w:bCs/>
        </w:rPr>
        <w:t>Fall-to-fall retention as measured by the National Center for Educational Statistic IPEDS data system</w:t>
      </w:r>
      <w:r w:rsidR="00A02D0D">
        <w:rPr>
          <w:rFonts w:cstheme="minorHAnsi"/>
          <w:bCs/>
        </w:rPr>
        <w:t xml:space="preserve"> are </w:t>
      </w:r>
      <w:r w:rsidR="00DD66BD" w:rsidRPr="00901B33">
        <w:rPr>
          <w:rFonts w:cstheme="minorHAnsi"/>
          <w:bCs/>
        </w:rPr>
        <w:t>students who were registered in one fall quarter and are registered in the fourth week of classes the following fall quarter or have completed their program.</w:t>
      </w:r>
      <w:r w:rsidR="00DD66BD" w:rsidRPr="000D7A58">
        <w:rPr>
          <w:rFonts w:cstheme="minorHAnsi"/>
          <w:bCs/>
        </w:rPr>
        <w:t xml:space="preserve"> </w:t>
      </w:r>
    </w:p>
    <w:p w14:paraId="17D65B77" w14:textId="77777777" w:rsidR="00855008" w:rsidRPr="000D7A58" w:rsidRDefault="00855008" w:rsidP="009E1826">
      <w:pPr>
        <w:rPr>
          <w:rFonts w:cstheme="minorHAnsi"/>
          <w:bCs/>
        </w:rPr>
      </w:pPr>
    </w:p>
    <w:p w14:paraId="6C5E46D3" w14:textId="5E181B6E" w:rsidR="00DD66BD" w:rsidRPr="00901B33" w:rsidRDefault="009E1826" w:rsidP="00DD66BD">
      <w:r w:rsidRPr="000D7A58">
        <w:rPr>
          <w:rFonts w:cstheme="minorHAnsi"/>
          <w:bCs/>
          <w:u w:val="single"/>
        </w:rPr>
        <w:t>Targets</w:t>
      </w:r>
      <w:r w:rsidR="005C15AD" w:rsidRPr="000D7A58">
        <w:rPr>
          <w:rFonts w:cstheme="minorHAnsi"/>
          <w:bCs/>
        </w:rPr>
        <w:t xml:space="preserve">: </w:t>
      </w:r>
      <w:r w:rsidR="00650D77">
        <w:rPr>
          <w:rFonts w:cstheme="minorHAnsi"/>
          <w:bCs/>
        </w:rPr>
        <w:t xml:space="preserve">COCC initially set its targets without having benefit of comparator institution data and as such, </w:t>
      </w:r>
      <w:r w:rsidR="00DD66BD">
        <w:rPr>
          <w:rFonts w:cstheme="minorHAnsi"/>
          <w:bCs/>
        </w:rPr>
        <w:t xml:space="preserve">identified the target based on historical averages. </w:t>
      </w:r>
      <w:r w:rsidR="00DD66BD" w:rsidRPr="00901B33">
        <w:t>The College’s last strategic plan saw increases in FTF retention with 51%</w:t>
      </w:r>
      <w:r w:rsidR="00DD66BD">
        <w:t xml:space="preserve"> as its highest rate and used this figure as its </w:t>
      </w:r>
      <w:r w:rsidR="00DD66BD" w:rsidRPr="00901B33">
        <w:t xml:space="preserve">baseline for the current </w:t>
      </w:r>
      <w:r w:rsidR="00204499">
        <w:t>s</w:t>
      </w:r>
      <w:r w:rsidR="00204499" w:rsidRPr="00901B33">
        <w:t xml:space="preserve">trategic </w:t>
      </w:r>
      <w:r w:rsidR="00204499">
        <w:t>p</w:t>
      </w:r>
      <w:r w:rsidR="00204499" w:rsidRPr="00901B33">
        <w:t>lan</w:t>
      </w:r>
      <w:r w:rsidR="00DD66BD" w:rsidRPr="00901B33">
        <w:t>. Further, comparator institutions</w:t>
      </w:r>
      <w:r w:rsidR="00DD66BD">
        <w:t xml:space="preserve"> </w:t>
      </w:r>
      <w:r w:rsidR="00DD66BD" w:rsidRPr="00901B33">
        <w:t>identified through IPEDS showed 53-55% FTF retention rates</w:t>
      </w:r>
      <w:r w:rsidR="00204499">
        <w:t>,</w:t>
      </w:r>
      <w:r w:rsidR="00DD66BD" w:rsidRPr="00901B33">
        <w:t xml:space="preserve"> so annual targets have been set to meet this higher bar. </w:t>
      </w:r>
    </w:p>
    <w:p w14:paraId="77CFEE35" w14:textId="77777777" w:rsidR="00DD66BD" w:rsidRPr="00901B33" w:rsidRDefault="00DD66BD" w:rsidP="00DD66BD"/>
    <w:p w14:paraId="7EF25445" w14:textId="1001D005" w:rsidR="00DD66BD" w:rsidRDefault="00DD66BD" w:rsidP="00DD66BD">
      <w:r w:rsidRPr="00901B33">
        <w:t>It is important to note that Guided Pathways (GP) is one of the primary action projects that will influence this indicator. Students will begin experiencing Education Pathways, a primary outcome of GP work, fall 2026 with impacts on FTF retention starting fall 2027.</w:t>
      </w:r>
    </w:p>
    <w:p w14:paraId="5CAAB60D" w14:textId="77777777" w:rsidR="00D16ED4" w:rsidRPr="000D7A58" w:rsidRDefault="00D16ED4" w:rsidP="00DD66BD"/>
    <w:tbl>
      <w:tblPr>
        <w:tblStyle w:val="TableGrid"/>
        <w:tblW w:w="0" w:type="auto"/>
        <w:tblLook w:val="04A0" w:firstRow="1" w:lastRow="0" w:firstColumn="1" w:lastColumn="0" w:noHBand="0" w:noVBand="1"/>
      </w:tblPr>
      <w:tblGrid>
        <w:gridCol w:w="1615"/>
        <w:gridCol w:w="1800"/>
        <w:gridCol w:w="2070"/>
        <w:gridCol w:w="1895"/>
        <w:gridCol w:w="1975"/>
      </w:tblGrid>
      <w:tr w:rsidR="00D16ED4" w:rsidRPr="000D7A58" w14:paraId="479F5B14" w14:textId="77777777" w:rsidTr="00AB0CEF">
        <w:tc>
          <w:tcPr>
            <w:tcW w:w="1615" w:type="dxa"/>
            <w:tcBorders>
              <w:top w:val="nil"/>
              <w:left w:val="nil"/>
              <w:bottom w:val="nil"/>
              <w:right w:val="single" w:sz="4" w:space="0" w:color="auto"/>
            </w:tcBorders>
          </w:tcPr>
          <w:p w14:paraId="62CA24DA" w14:textId="77777777" w:rsidR="00D16ED4" w:rsidRPr="000D7A58" w:rsidRDefault="00D16ED4" w:rsidP="00AB0CEF">
            <w:pPr>
              <w:rPr>
                <w:rFonts w:cstheme="minorHAnsi"/>
                <w:bCs/>
              </w:rPr>
            </w:pPr>
          </w:p>
        </w:tc>
        <w:tc>
          <w:tcPr>
            <w:tcW w:w="1800" w:type="dxa"/>
            <w:tcBorders>
              <w:left w:val="single" w:sz="4" w:space="0" w:color="auto"/>
              <w:bottom w:val="single" w:sz="4" w:space="0" w:color="auto"/>
            </w:tcBorders>
          </w:tcPr>
          <w:p w14:paraId="7FF4B7D4" w14:textId="77777777" w:rsidR="00D16ED4" w:rsidRPr="000D7A58" w:rsidRDefault="00D16ED4" w:rsidP="00AB0CEF">
            <w:pPr>
              <w:jc w:val="center"/>
              <w:rPr>
                <w:rFonts w:cstheme="minorHAnsi"/>
                <w:bCs/>
              </w:rPr>
            </w:pPr>
            <w:r>
              <w:rPr>
                <w:rFonts w:cstheme="minorHAnsi"/>
                <w:bCs/>
              </w:rPr>
              <w:t>Original</w:t>
            </w:r>
          </w:p>
        </w:tc>
        <w:tc>
          <w:tcPr>
            <w:tcW w:w="5935" w:type="dxa"/>
            <w:gridSpan w:val="3"/>
            <w:tcBorders>
              <w:bottom w:val="single" w:sz="4" w:space="0" w:color="auto"/>
            </w:tcBorders>
          </w:tcPr>
          <w:p w14:paraId="6A3D2AC9" w14:textId="77777777" w:rsidR="00D16ED4" w:rsidRPr="000D7A58" w:rsidRDefault="00D16ED4" w:rsidP="00AB0CEF">
            <w:pPr>
              <w:jc w:val="center"/>
              <w:rPr>
                <w:rFonts w:cstheme="minorHAnsi"/>
                <w:bCs/>
              </w:rPr>
            </w:pPr>
            <w:r>
              <w:rPr>
                <w:rFonts w:cstheme="minorHAnsi"/>
                <w:bCs/>
              </w:rPr>
              <w:t>Updated</w:t>
            </w:r>
          </w:p>
        </w:tc>
      </w:tr>
      <w:tr w:rsidR="00D16ED4" w:rsidRPr="000D7A58" w14:paraId="2B5C2A05" w14:textId="77777777" w:rsidTr="00AB0CEF">
        <w:tc>
          <w:tcPr>
            <w:tcW w:w="1615" w:type="dxa"/>
            <w:tcBorders>
              <w:top w:val="nil"/>
              <w:left w:val="nil"/>
              <w:bottom w:val="double" w:sz="4" w:space="0" w:color="auto"/>
              <w:right w:val="single" w:sz="4" w:space="0" w:color="auto"/>
            </w:tcBorders>
          </w:tcPr>
          <w:p w14:paraId="4775E3FC" w14:textId="77777777" w:rsidR="00D16ED4" w:rsidRPr="000D7A58" w:rsidRDefault="00D16ED4" w:rsidP="00AB0CEF">
            <w:pPr>
              <w:rPr>
                <w:rFonts w:cstheme="minorHAnsi"/>
                <w:bCs/>
              </w:rPr>
            </w:pPr>
          </w:p>
        </w:tc>
        <w:tc>
          <w:tcPr>
            <w:tcW w:w="1800" w:type="dxa"/>
            <w:tcBorders>
              <w:top w:val="single" w:sz="4" w:space="0" w:color="auto"/>
              <w:left w:val="single" w:sz="4" w:space="0" w:color="auto"/>
              <w:bottom w:val="double" w:sz="4" w:space="0" w:color="auto"/>
            </w:tcBorders>
          </w:tcPr>
          <w:p w14:paraId="10B80C99" w14:textId="77777777" w:rsidR="00D16ED4" w:rsidRPr="000D7A58" w:rsidRDefault="00D16ED4" w:rsidP="00AB0CEF">
            <w:pPr>
              <w:jc w:val="center"/>
              <w:rPr>
                <w:rFonts w:cstheme="minorHAnsi"/>
                <w:bCs/>
              </w:rPr>
            </w:pPr>
            <w:r w:rsidRPr="000D7A58">
              <w:rPr>
                <w:rFonts w:cstheme="minorHAnsi"/>
                <w:bCs/>
              </w:rPr>
              <w:t>2023-24</w:t>
            </w:r>
          </w:p>
        </w:tc>
        <w:tc>
          <w:tcPr>
            <w:tcW w:w="2070" w:type="dxa"/>
            <w:tcBorders>
              <w:top w:val="single" w:sz="4" w:space="0" w:color="auto"/>
              <w:bottom w:val="double" w:sz="4" w:space="0" w:color="auto"/>
            </w:tcBorders>
          </w:tcPr>
          <w:p w14:paraId="7FC7F915" w14:textId="77777777" w:rsidR="00D16ED4" w:rsidRPr="000D7A58" w:rsidRDefault="00D16ED4" w:rsidP="00AB0CEF">
            <w:pPr>
              <w:jc w:val="center"/>
              <w:rPr>
                <w:rFonts w:cstheme="minorHAnsi"/>
                <w:bCs/>
              </w:rPr>
            </w:pPr>
            <w:r w:rsidRPr="000D7A58">
              <w:rPr>
                <w:rFonts w:cstheme="minorHAnsi"/>
                <w:bCs/>
              </w:rPr>
              <w:t>2024-25</w:t>
            </w:r>
          </w:p>
        </w:tc>
        <w:tc>
          <w:tcPr>
            <w:tcW w:w="1890" w:type="dxa"/>
            <w:tcBorders>
              <w:top w:val="single" w:sz="4" w:space="0" w:color="auto"/>
              <w:bottom w:val="double" w:sz="4" w:space="0" w:color="auto"/>
            </w:tcBorders>
          </w:tcPr>
          <w:p w14:paraId="35ABA0FA" w14:textId="77777777" w:rsidR="00D16ED4" w:rsidRPr="000D7A58" w:rsidRDefault="00D16ED4" w:rsidP="00AB0CEF">
            <w:pPr>
              <w:jc w:val="center"/>
              <w:rPr>
                <w:rFonts w:cstheme="minorHAnsi"/>
                <w:bCs/>
              </w:rPr>
            </w:pPr>
            <w:r w:rsidRPr="000D7A58">
              <w:rPr>
                <w:rFonts w:cstheme="minorHAnsi"/>
                <w:bCs/>
              </w:rPr>
              <w:t>2025-26</w:t>
            </w:r>
          </w:p>
        </w:tc>
        <w:tc>
          <w:tcPr>
            <w:tcW w:w="1975" w:type="dxa"/>
            <w:tcBorders>
              <w:top w:val="single" w:sz="4" w:space="0" w:color="auto"/>
              <w:bottom w:val="double" w:sz="4" w:space="0" w:color="auto"/>
            </w:tcBorders>
          </w:tcPr>
          <w:p w14:paraId="144B6486" w14:textId="77777777" w:rsidR="00D16ED4" w:rsidRPr="000D7A58" w:rsidRDefault="00D16ED4" w:rsidP="00AB0CEF">
            <w:pPr>
              <w:jc w:val="center"/>
              <w:rPr>
                <w:rFonts w:cstheme="minorHAnsi"/>
                <w:bCs/>
              </w:rPr>
            </w:pPr>
            <w:r w:rsidRPr="000D7A58">
              <w:rPr>
                <w:rFonts w:cstheme="minorHAnsi"/>
                <w:bCs/>
              </w:rPr>
              <w:t>2026-27</w:t>
            </w:r>
          </w:p>
        </w:tc>
      </w:tr>
      <w:tr w:rsidR="005C15AD" w:rsidRPr="000D7A58" w14:paraId="1BA74A7C" w14:textId="77777777" w:rsidTr="00D16ED4">
        <w:tc>
          <w:tcPr>
            <w:tcW w:w="1615" w:type="dxa"/>
            <w:tcBorders>
              <w:top w:val="double" w:sz="4" w:space="0" w:color="auto"/>
            </w:tcBorders>
          </w:tcPr>
          <w:p w14:paraId="7B9960A2" w14:textId="2DF59613" w:rsidR="005C15AD" w:rsidRPr="000D7A58" w:rsidRDefault="005C15AD" w:rsidP="005C15AD">
            <w:r w:rsidRPr="000D7A58">
              <w:t>Met</w:t>
            </w:r>
          </w:p>
        </w:tc>
        <w:tc>
          <w:tcPr>
            <w:tcW w:w="1800" w:type="dxa"/>
            <w:tcBorders>
              <w:top w:val="double" w:sz="4" w:space="0" w:color="auto"/>
            </w:tcBorders>
          </w:tcPr>
          <w:p w14:paraId="461D1DB0" w14:textId="58199CCB" w:rsidR="005C15AD" w:rsidRPr="000D7A58" w:rsidRDefault="005C15AD" w:rsidP="00D16ED4">
            <w:pPr>
              <w:jc w:val="center"/>
            </w:pPr>
            <w:r w:rsidRPr="000D7A58">
              <w:t>49% or greater</w:t>
            </w:r>
          </w:p>
        </w:tc>
        <w:tc>
          <w:tcPr>
            <w:tcW w:w="2070" w:type="dxa"/>
            <w:tcBorders>
              <w:top w:val="double" w:sz="4" w:space="0" w:color="auto"/>
            </w:tcBorders>
          </w:tcPr>
          <w:p w14:paraId="6608C612" w14:textId="31FBD790" w:rsidR="005C15AD" w:rsidRPr="000D7A58" w:rsidRDefault="00DD66BD" w:rsidP="00D16ED4">
            <w:pPr>
              <w:jc w:val="center"/>
            </w:pPr>
            <w:r>
              <w:t>54%+</w:t>
            </w:r>
          </w:p>
        </w:tc>
        <w:tc>
          <w:tcPr>
            <w:tcW w:w="1895" w:type="dxa"/>
            <w:tcBorders>
              <w:top w:val="double" w:sz="4" w:space="0" w:color="auto"/>
            </w:tcBorders>
          </w:tcPr>
          <w:p w14:paraId="79A39845" w14:textId="50257F2F" w:rsidR="005C15AD" w:rsidRPr="000D7A58" w:rsidRDefault="00DD66BD" w:rsidP="00D16ED4">
            <w:pPr>
              <w:jc w:val="center"/>
            </w:pPr>
            <w:r>
              <w:t>55%+</w:t>
            </w:r>
          </w:p>
        </w:tc>
        <w:tc>
          <w:tcPr>
            <w:tcW w:w="1970" w:type="dxa"/>
            <w:tcBorders>
              <w:top w:val="double" w:sz="4" w:space="0" w:color="auto"/>
            </w:tcBorders>
          </w:tcPr>
          <w:p w14:paraId="14159950" w14:textId="2A9448B5" w:rsidR="005C15AD" w:rsidRPr="000D7A58" w:rsidRDefault="005C15AD" w:rsidP="00D16ED4">
            <w:pPr>
              <w:jc w:val="center"/>
              <w:rPr>
                <w:rFonts w:cstheme="minorHAnsi"/>
                <w:bCs/>
              </w:rPr>
            </w:pPr>
            <w:r w:rsidRPr="000D7A58">
              <w:rPr>
                <w:rFonts w:cstheme="minorHAnsi"/>
                <w:bCs/>
              </w:rPr>
              <w:t>5</w:t>
            </w:r>
            <w:r w:rsidR="00DD66BD">
              <w:rPr>
                <w:rFonts w:cstheme="minorHAnsi"/>
                <w:bCs/>
              </w:rPr>
              <w:t>6</w:t>
            </w:r>
            <w:r w:rsidR="00DF255F" w:rsidRPr="000D7A58">
              <w:rPr>
                <w:rFonts w:cstheme="minorHAnsi"/>
                <w:bCs/>
              </w:rPr>
              <w:t>%</w:t>
            </w:r>
            <w:r w:rsidR="00DD66BD">
              <w:rPr>
                <w:rFonts w:cstheme="minorHAnsi"/>
                <w:bCs/>
              </w:rPr>
              <w:t>+</w:t>
            </w:r>
          </w:p>
        </w:tc>
      </w:tr>
      <w:tr w:rsidR="005C15AD" w:rsidRPr="000D7A58" w14:paraId="1F00CD1F" w14:textId="77777777" w:rsidTr="00D16ED4">
        <w:tc>
          <w:tcPr>
            <w:tcW w:w="1615" w:type="dxa"/>
          </w:tcPr>
          <w:p w14:paraId="7BE14844" w14:textId="77777777" w:rsidR="005C15AD" w:rsidRPr="000D7A58" w:rsidRDefault="005C15AD" w:rsidP="005C15AD">
            <w:r w:rsidRPr="000D7A58">
              <w:t>Almost Met</w:t>
            </w:r>
          </w:p>
        </w:tc>
        <w:tc>
          <w:tcPr>
            <w:tcW w:w="1800" w:type="dxa"/>
          </w:tcPr>
          <w:p w14:paraId="0C9E5503" w14:textId="7C42518B" w:rsidR="005C15AD" w:rsidRPr="000D7A58" w:rsidRDefault="005C15AD" w:rsidP="00D16ED4">
            <w:pPr>
              <w:jc w:val="center"/>
            </w:pPr>
            <w:r w:rsidRPr="000D7A58">
              <w:t>47 – 48%</w:t>
            </w:r>
          </w:p>
        </w:tc>
        <w:tc>
          <w:tcPr>
            <w:tcW w:w="2070" w:type="dxa"/>
          </w:tcPr>
          <w:p w14:paraId="313014C1" w14:textId="30C72E8C" w:rsidR="005C15AD" w:rsidRPr="000D7A58" w:rsidRDefault="00DD66BD" w:rsidP="00D16ED4">
            <w:pPr>
              <w:jc w:val="center"/>
            </w:pPr>
            <w:r>
              <w:t>51 – 53%</w:t>
            </w:r>
          </w:p>
        </w:tc>
        <w:tc>
          <w:tcPr>
            <w:tcW w:w="1895" w:type="dxa"/>
          </w:tcPr>
          <w:p w14:paraId="1C990097" w14:textId="75C1ED50" w:rsidR="005C15AD" w:rsidRPr="000D7A58" w:rsidRDefault="00DD66BD" w:rsidP="00D16ED4">
            <w:pPr>
              <w:jc w:val="center"/>
            </w:pPr>
            <w:r>
              <w:t>52 – 54%</w:t>
            </w:r>
          </w:p>
        </w:tc>
        <w:tc>
          <w:tcPr>
            <w:tcW w:w="1970" w:type="dxa"/>
          </w:tcPr>
          <w:p w14:paraId="34B8577B" w14:textId="05B9361B" w:rsidR="005C15AD" w:rsidRPr="000D7A58" w:rsidRDefault="00DD66BD" w:rsidP="00D16ED4">
            <w:pPr>
              <w:jc w:val="center"/>
              <w:rPr>
                <w:rFonts w:cstheme="minorHAnsi"/>
                <w:bCs/>
              </w:rPr>
            </w:pPr>
            <w:r>
              <w:rPr>
                <w:rFonts w:cstheme="minorHAnsi"/>
                <w:bCs/>
              </w:rPr>
              <w:t>53 – 55%</w:t>
            </w:r>
          </w:p>
        </w:tc>
      </w:tr>
      <w:tr w:rsidR="005C15AD" w:rsidRPr="000D7A58" w14:paraId="2DC0528E" w14:textId="77777777" w:rsidTr="00D16ED4">
        <w:tc>
          <w:tcPr>
            <w:tcW w:w="1615" w:type="dxa"/>
          </w:tcPr>
          <w:p w14:paraId="7CC9E404" w14:textId="77777777" w:rsidR="005C15AD" w:rsidRPr="000D7A58" w:rsidRDefault="005C15AD" w:rsidP="005C15AD">
            <w:r w:rsidRPr="000D7A58">
              <w:t>Not Met</w:t>
            </w:r>
          </w:p>
        </w:tc>
        <w:tc>
          <w:tcPr>
            <w:tcW w:w="1800" w:type="dxa"/>
          </w:tcPr>
          <w:p w14:paraId="683D71C6" w14:textId="0D08A46D" w:rsidR="005C15AD" w:rsidRPr="000D7A58" w:rsidRDefault="005C15AD" w:rsidP="00D16ED4">
            <w:pPr>
              <w:jc w:val="center"/>
            </w:pPr>
            <w:r w:rsidRPr="000D7A58">
              <w:t>Below 47%</w:t>
            </w:r>
          </w:p>
        </w:tc>
        <w:tc>
          <w:tcPr>
            <w:tcW w:w="2070" w:type="dxa"/>
          </w:tcPr>
          <w:p w14:paraId="1842B0BE" w14:textId="08E90EBE" w:rsidR="005C15AD" w:rsidRPr="000D7A58" w:rsidRDefault="005C15AD" w:rsidP="00D16ED4">
            <w:pPr>
              <w:jc w:val="center"/>
            </w:pPr>
            <w:r w:rsidRPr="000D7A58">
              <w:t xml:space="preserve">Below </w:t>
            </w:r>
            <w:r w:rsidR="00DD66BD">
              <w:t>51</w:t>
            </w:r>
            <w:r w:rsidRPr="000D7A58">
              <w:t>%</w:t>
            </w:r>
          </w:p>
        </w:tc>
        <w:tc>
          <w:tcPr>
            <w:tcW w:w="1895" w:type="dxa"/>
          </w:tcPr>
          <w:p w14:paraId="51832D82" w14:textId="6AF06FA5" w:rsidR="005C15AD" w:rsidRPr="000D7A58" w:rsidRDefault="005C15AD" w:rsidP="00D16ED4">
            <w:pPr>
              <w:jc w:val="center"/>
            </w:pPr>
            <w:r w:rsidRPr="000D7A58">
              <w:t xml:space="preserve">Below </w:t>
            </w:r>
            <w:r w:rsidR="00DD66BD">
              <w:t>52</w:t>
            </w:r>
            <w:r w:rsidRPr="000D7A58">
              <w:t>%</w:t>
            </w:r>
          </w:p>
        </w:tc>
        <w:tc>
          <w:tcPr>
            <w:tcW w:w="1970" w:type="dxa"/>
          </w:tcPr>
          <w:p w14:paraId="3075AED1" w14:textId="35A24004" w:rsidR="005C15AD" w:rsidRPr="000D7A58" w:rsidRDefault="00DF255F" w:rsidP="00D16ED4">
            <w:pPr>
              <w:jc w:val="center"/>
              <w:rPr>
                <w:rFonts w:cstheme="minorHAnsi"/>
                <w:bCs/>
              </w:rPr>
            </w:pPr>
            <w:r w:rsidRPr="000D7A58">
              <w:rPr>
                <w:rFonts w:cstheme="minorHAnsi"/>
                <w:bCs/>
              </w:rPr>
              <w:t xml:space="preserve">Below </w:t>
            </w:r>
            <w:r w:rsidR="00DD66BD">
              <w:rPr>
                <w:rFonts w:cstheme="minorHAnsi"/>
                <w:bCs/>
              </w:rPr>
              <w:t>53</w:t>
            </w:r>
            <w:r w:rsidRPr="000D7A58">
              <w:rPr>
                <w:rFonts w:cstheme="minorHAnsi"/>
                <w:bCs/>
              </w:rPr>
              <w:t>%</w:t>
            </w:r>
          </w:p>
        </w:tc>
      </w:tr>
    </w:tbl>
    <w:p w14:paraId="7D189986" w14:textId="6E826CBC" w:rsidR="005C15AD" w:rsidRDefault="005C15AD" w:rsidP="009E1826">
      <w:pPr>
        <w:rPr>
          <w:rFonts w:cstheme="minorHAnsi"/>
          <w:bCs/>
        </w:rPr>
      </w:pPr>
    </w:p>
    <w:p w14:paraId="3C52895B" w14:textId="77777777" w:rsidR="00CB182F" w:rsidRDefault="009C742B" w:rsidP="009E1826">
      <w:pPr>
        <w:rPr>
          <w:rFonts w:cstheme="minorHAnsi"/>
          <w:bCs/>
        </w:rPr>
      </w:pPr>
      <w:r>
        <w:rPr>
          <w:rFonts w:cstheme="minorHAnsi"/>
          <w:bCs/>
          <w:u w:val="single"/>
        </w:rPr>
        <w:t>Peer Institutions</w:t>
      </w:r>
      <w:r>
        <w:rPr>
          <w:rFonts w:cstheme="minorHAnsi"/>
          <w:bCs/>
        </w:rPr>
        <w:t xml:space="preserve">: </w:t>
      </w:r>
      <w:r w:rsidR="00CB182F">
        <w:rPr>
          <w:rFonts w:cstheme="minorHAnsi"/>
          <w:bCs/>
        </w:rPr>
        <w:t>COCC has two sets of peer institution data for this (and several other) indicators:</w:t>
      </w:r>
    </w:p>
    <w:p w14:paraId="6596214F" w14:textId="77777777" w:rsidR="00CB182F" w:rsidRDefault="00CB182F" w:rsidP="009E1826">
      <w:pPr>
        <w:rPr>
          <w:rFonts w:cstheme="minorHAnsi"/>
          <w:bCs/>
        </w:rPr>
      </w:pPr>
    </w:p>
    <w:p w14:paraId="7793DE79" w14:textId="77777777" w:rsidR="00CB182F" w:rsidRDefault="009C742B" w:rsidP="00CB182F">
      <w:pPr>
        <w:pStyle w:val="ListParagraph"/>
        <w:numPr>
          <w:ilvl w:val="0"/>
          <w:numId w:val="37"/>
        </w:numPr>
      </w:pPr>
      <w:r w:rsidRPr="00CB182F">
        <w:rPr>
          <w:rFonts w:cstheme="minorHAnsi"/>
          <w:bCs/>
        </w:rPr>
        <w:t xml:space="preserve">COCC’s </w:t>
      </w:r>
      <w:r w:rsidR="00CB182F" w:rsidRPr="00CB182F">
        <w:rPr>
          <w:rFonts w:cstheme="minorHAnsi"/>
          <w:bCs/>
        </w:rPr>
        <w:t xml:space="preserve">IPEDS </w:t>
      </w:r>
      <w:r w:rsidRPr="00CB182F">
        <w:rPr>
          <w:rFonts w:cstheme="minorHAnsi"/>
          <w:bCs/>
        </w:rPr>
        <w:t xml:space="preserve">peer institutions were identified using a set of 14 characteristics (e.g., institutional size, program mix, budget, community size, branch campuses, etc.). This yielded five regional and national peers: </w:t>
      </w:r>
      <w:r>
        <w:t>Gavilan College, Gulf Coast State College, Hawkeye CC, Iowa Western CC, and Linn-Benton CC. The average FTF retention rate amongst this group was 54%.</w:t>
      </w:r>
      <w:r w:rsidR="00517A2E">
        <w:t xml:space="preserve"> </w:t>
      </w:r>
    </w:p>
    <w:p w14:paraId="1C925FCF" w14:textId="2BA517EE" w:rsidR="009C742B" w:rsidRPr="00CB182F" w:rsidRDefault="00517A2E" w:rsidP="00CB182F">
      <w:pPr>
        <w:pStyle w:val="ListParagraph"/>
        <w:numPr>
          <w:ilvl w:val="0"/>
          <w:numId w:val="37"/>
        </w:numPr>
      </w:pPr>
      <w:r>
        <w:t>The average FTF retention amongst Oregon community colleges was 37%.</w:t>
      </w:r>
    </w:p>
    <w:p w14:paraId="5B89FDED" w14:textId="77777777" w:rsidR="009C742B" w:rsidRPr="000D7A58" w:rsidRDefault="009C742B" w:rsidP="009E1826">
      <w:pPr>
        <w:rPr>
          <w:rFonts w:cstheme="minorHAnsi"/>
          <w:bCs/>
        </w:rPr>
      </w:pPr>
    </w:p>
    <w:p w14:paraId="3D35A557" w14:textId="7C17C561" w:rsidR="00092A0A" w:rsidRPr="00DD66BD" w:rsidRDefault="00DD66BD" w:rsidP="00092A0A">
      <w:pPr>
        <w:rPr>
          <w:rFonts w:cstheme="minorHAnsi"/>
          <w:bCs/>
        </w:rPr>
      </w:pPr>
      <w:r>
        <w:rPr>
          <w:rFonts w:cstheme="minorHAnsi"/>
          <w:bCs/>
          <w:u w:val="single"/>
        </w:rPr>
        <w:t>Progress</w:t>
      </w:r>
      <w:r>
        <w:rPr>
          <w:rFonts w:cstheme="minorHAnsi"/>
          <w:bCs/>
        </w:rPr>
        <w:t>: The College’s FTF retention rate for the fall 2022 cohort was 53%, exceeding the target by 4%. Given the availability of comparator institution data, COCC shifted its targets upwards for future years of the plan. With this, the FTF target for year two of the plan was 54%</w:t>
      </w:r>
      <w:r w:rsidR="00394714">
        <w:rPr>
          <w:rFonts w:cstheme="minorHAnsi"/>
          <w:bCs/>
        </w:rPr>
        <w:t xml:space="preserve">; </w:t>
      </w:r>
      <w:r>
        <w:rPr>
          <w:rFonts w:cstheme="minorHAnsi"/>
          <w:bCs/>
        </w:rPr>
        <w:t>55% of the fall 2023 cohort returned for fall 2024</w:t>
      </w:r>
      <w:r w:rsidR="00394714">
        <w:rPr>
          <w:rFonts w:cstheme="minorHAnsi"/>
          <w:bCs/>
        </w:rPr>
        <w:t>, thereby meeting the FTF indicator target.</w:t>
      </w:r>
    </w:p>
    <w:p w14:paraId="6B11CE2C" w14:textId="77777777" w:rsidR="00092A0A" w:rsidRPr="000D7A58" w:rsidRDefault="00092A0A" w:rsidP="009E1826">
      <w:pPr>
        <w:rPr>
          <w:rFonts w:cstheme="minorHAnsi"/>
          <w:bCs/>
        </w:rPr>
      </w:pPr>
    </w:p>
    <w:p w14:paraId="121A76DC" w14:textId="087CBA2F"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Graduation Rates</w:t>
      </w:r>
      <w:r w:rsidRPr="000D7A58">
        <w:rPr>
          <w:rFonts w:cstheme="minorHAnsi"/>
          <w:b/>
        </w:rPr>
        <w:tab/>
        <w:t>Annemarie Hamlin &amp; Alicia Moore</w:t>
      </w:r>
    </w:p>
    <w:p w14:paraId="1C4E8F52" w14:textId="77777777" w:rsidR="009E1826" w:rsidRPr="000D7A58" w:rsidRDefault="009E1826" w:rsidP="009E1826">
      <w:pPr>
        <w:rPr>
          <w:rFonts w:cstheme="minorHAnsi"/>
          <w:bCs/>
        </w:rPr>
      </w:pPr>
    </w:p>
    <w:p w14:paraId="1F9501F4" w14:textId="450B317B" w:rsidR="00A31DB3" w:rsidRPr="000D7A58" w:rsidRDefault="009E1826" w:rsidP="00A31DB3">
      <w:r w:rsidRPr="000D7A58">
        <w:rPr>
          <w:rFonts w:cstheme="minorHAnsi"/>
          <w:bCs/>
          <w:u w:val="single"/>
        </w:rPr>
        <w:t>Rationale for Indicator</w:t>
      </w:r>
      <w:r w:rsidR="00A31DB3" w:rsidRPr="000D7A58">
        <w:rPr>
          <w:rFonts w:cstheme="minorHAnsi"/>
          <w:bCs/>
        </w:rPr>
        <w:t xml:space="preserve">: </w:t>
      </w:r>
      <w:r w:rsidR="00010199" w:rsidRPr="000D7A58">
        <w:rPr>
          <w:rFonts w:cstheme="minorHAnsi"/>
          <w:bCs/>
        </w:rPr>
        <w:t>Graduation rates are a</w:t>
      </w:r>
      <w:r w:rsidR="00CB182F">
        <w:rPr>
          <w:rFonts w:cstheme="minorHAnsi"/>
          <w:bCs/>
        </w:rPr>
        <w:t>nother</w:t>
      </w:r>
      <w:r w:rsidR="00010199" w:rsidRPr="000D7A58">
        <w:rPr>
          <w:rFonts w:cstheme="minorHAnsi"/>
          <w:bCs/>
        </w:rPr>
        <w:t xml:space="preserve"> common metric in higher education. </w:t>
      </w:r>
      <w:r w:rsidR="00010199" w:rsidRPr="000D7A58">
        <w:t xml:space="preserve">The 2023 – 27 Strategic Plan action projects were selected as </w:t>
      </w:r>
      <w:r w:rsidR="00CB182F">
        <w:t>many</w:t>
      </w:r>
      <w:r w:rsidR="00010199" w:rsidRPr="000D7A58">
        <w:t xml:space="preserve"> have the ability to positively impact student success – and in particular, graduation rates. Examples of these projects include Guided Pathways, Strategic Scheduling, Online Programs and Madras Campus Expansion, among others, noting that </w:t>
      </w:r>
      <w:r w:rsidR="00010199" w:rsidRPr="000D7A58">
        <w:lastRenderedPageBreak/>
        <w:t>implementation timelines for many of these may not impact graduation rates during this strategic plan, but should do so shortly thereafter.</w:t>
      </w:r>
    </w:p>
    <w:p w14:paraId="3DD4FE21" w14:textId="2F260C82" w:rsidR="00A31DB3" w:rsidRPr="000D7A58" w:rsidRDefault="00A31DB3" w:rsidP="009E1826">
      <w:pPr>
        <w:rPr>
          <w:rFonts w:cstheme="minorHAnsi"/>
          <w:bCs/>
          <w:u w:val="single"/>
        </w:rPr>
      </w:pPr>
    </w:p>
    <w:p w14:paraId="511CFB1F" w14:textId="39F7C49F" w:rsidR="009E1826" w:rsidRDefault="009E1826" w:rsidP="009E1826">
      <w:r w:rsidRPr="000D7A58">
        <w:rPr>
          <w:rFonts w:cstheme="minorHAnsi"/>
          <w:bCs/>
          <w:u w:val="single"/>
        </w:rPr>
        <w:t>Definition</w:t>
      </w:r>
      <w:r w:rsidR="00A31DB3" w:rsidRPr="000D7A58">
        <w:rPr>
          <w:rFonts w:cstheme="minorHAnsi"/>
          <w:bCs/>
          <w:u w:val="single"/>
        </w:rPr>
        <w:t>:</w:t>
      </w:r>
      <w:r w:rsidR="00A31DB3" w:rsidRPr="000D7A58">
        <w:rPr>
          <w:rFonts w:cstheme="minorHAnsi"/>
          <w:bCs/>
        </w:rPr>
        <w:t xml:space="preserve"> </w:t>
      </w:r>
      <w:r w:rsidR="00010199" w:rsidRPr="00842F0B">
        <w:rPr>
          <w:rFonts w:cstheme="minorHAnsi"/>
          <w:bCs/>
        </w:rPr>
        <w:t xml:space="preserve">Graduation rate measured by the National Center for Educational Statistics IPEDS data system is measured as first-time students who were registered in one fall quarter and </w:t>
      </w:r>
      <w:r w:rsidR="00010199" w:rsidRPr="00842F0B">
        <w:t>earn a completion within three years.</w:t>
      </w:r>
    </w:p>
    <w:p w14:paraId="61BF99C7" w14:textId="77777777" w:rsidR="00010199" w:rsidRPr="000D7A58" w:rsidRDefault="00010199" w:rsidP="009E1826">
      <w:pPr>
        <w:rPr>
          <w:rFonts w:cstheme="minorHAnsi"/>
          <w:bCs/>
        </w:rPr>
      </w:pPr>
    </w:p>
    <w:p w14:paraId="155F59D0" w14:textId="5210F4DA" w:rsidR="00F22351" w:rsidRDefault="009E1826" w:rsidP="00F22351">
      <w:pPr>
        <w:rPr>
          <w:rFonts w:cstheme="minorHAnsi"/>
          <w:bCs/>
        </w:rPr>
      </w:pPr>
      <w:bookmarkStart w:id="0" w:name="_Hlk170804039"/>
      <w:r w:rsidRPr="000D7A58">
        <w:rPr>
          <w:rFonts w:cstheme="minorHAnsi"/>
          <w:bCs/>
          <w:u w:val="single"/>
        </w:rPr>
        <w:t>Targets</w:t>
      </w:r>
      <w:r w:rsidR="00DF255F" w:rsidRPr="000D7A58">
        <w:rPr>
          <w:rFonts w:cstheme="minorHAnsi"/>
          <w:bCs/>
        </w:rPr>
        <w:t xml:space="preserve">: </w:t>
      </w:r>
      <w:r w:rsidR="00010199">
        <w:rPr>
          <w:rFonts w:cstheme="minorHAnsi"/>
          <w:bCs/>
        </w:rPr>
        <w:t>Like fall-to-winter and fall-to-fall retention rates, the year one target for graduation rates was not informed by peer institution data and therefore, was likely low. As peer institution data became available, COCC adjusted future year targets to align with the concept of stretch targets</w:t>
      </w:r>
      <w:r w:rsidR="00CB182F">
        <w:rPr>
          <w:rFonts w:cstheme="minorHAnsi"/>
          <w:bCs/>
        </w:rPr>
        <w:t xml:space="preserve"> and based on peer data</w:t>
      </w:r>
      <w:r w:rsidR="00010199">
        <w:rPr>
          <w:rFonts w:cstheme="minorHAnsi"/>
          <w:bCs/>
        </w:rPr>
        <w:t xml:space="preserve">. </w:t>
      </w:r>
      <w:bookmarkEnd w:id="0"/>
      <w:r w:rsidR="00010199">
        <w:rPr>
          <w:rFonts w:cstheme="minorHAnsi"/>
          <w:bCs/>
        </w:rPr>
        <w:t>Based on this, new targets for years two through four are:</w:t>
      </w:r>
    </w:p>
    <w:p w14:paraId="0656D0F9" w14:textId="4365BFBA" w:rsidR="00010199" w:rsidRDefault="00010199" w:rsidP="00F22351">
      <w:pPr>
        <w:rPr>
          <w:rFonts w:cstheme="minorHAnsi"/>
          <w:bCs/>
        </w:rPr>
      </w:pPr>
    </w:p>
    <w:tbl>
      <w:tblPr>
        <w:tblStyle w:val="TableGrid"/>
        <w:tblW w:w="0" w:type="auto"/>
        <w:tblLook w:val="04A0" w:firstRow="1" w:lastRow="0" w:firstColumn="1" w:lastColumn="0" w:noHBand="0" w:noVBand="1"/>
      </w:tblPr>
      <w:tblGrid>
        <w:gridCol w:w="1615"/>
        <w:gridCol w:w="1800"/>
        <w:gridCol w:w="2070"/>
        <w:gridCol w:w="1890"/>
        <w:gridCol w:w="90"/>
        <w:gridCol w:w="1885"/>
      </w:tblGrid>
      <w:tr w:rsidR="00D16ED4" w:rsidRPr="000D7A58" w14:paraId="38002161" w14:textId="77777777" w:rsidTr="00AB0CEF">
        <w:tc>
          <w:tcPr>
            <w:tcW w:w="1615" w:type="dxa"/>
            <w:tcBorders>
              <w:top w:val="nil"/>
              <w:left w:val="nil"/>
              <w:bottom w:val="nil"/>
              <w:right w:val="single" w:sz="4" w:space="0" w:color="auto"/>
            </w:tcBorders>
          </w:tcPr>
          <w:p w14:paraId="0F82CB77" w14:textId="77777777" w:rsidR="00D16ED4" w:rsidRPr="000D7A58" w:rsidRDefault="00D16ED4" w:rsidP="00AB0CEF">
            <w:pPr>
              <w:rPr>
                <w:rFonts w:cstheme="minorHAnsi"/>
                <w:bCs/>
              </w:rPr>
            </w:pPr>
          </w:p>
        </w:tc>
        <w:tc>
          <w:tcPr>
            <w:tcW w:w="1800" w:type="dxa"/>
            <w:tcBorders>
              <w:left w:val="single" w:sz="4" w:space="0" w:color="auto"/>
              <w:bottom w:val="single" w:sz="4" w:space="0" w:color="auto"/>
            </w:tcBorders>
          </w:tcPr>
          <w:p w14:paraId="27C44A2E" w14:textId="77777777" w:rsidR="00D16ED4" w:rsidRPr="000D7A58" w:rsidRDefault="00D16ED4" w:rsidP="00AB0CEF">
            <w:pPr>
              <w:jc w:val="center"/>
              <w:rPr>
                <w:rFonts w:cstheme="minorHAnsi"/>
                <w:bCs/>
              </w:rPr>
            </w:pPr>
            <w:r>
              <w:rPr>
                <w:rFonts w:cstheme="minorHAnsi"/>
                <w:bCs/>
              </w:rPr>
              <w:t>Original</w:t>
            </w:r>
          </w:p>
        </w:tc>
        <w:tc>
          <w:tcPr>
            <w:tcW w:w="5935" w:type="dxa"/>
            <w:gridSpan w:val="4"/>
            <w:tcBorders>
              <w:bottom w:val="single" w:sz="4" w:space="0" w:color="auto"/>
            </w:tcBorders>
          </w:tcPr>
          <w:p w14:paraId="305E9829" w14:textId="77777777" w:rsidR="00D16ED4" w:rsidRPr="000D7A58" w:rsidRDefault="00D16ED4" w:rsidP="00AB0CEF">
            <w:pPr>
              <w:jc w:val="center"/>
              <w:rPr>
                <w:rFonts w:cstheme="minorHAnsi"/>
                <w:bCs/>
              </w:rPr>
            </w:pPr>
            <w:r>
              <w:rPr>
                <w:rFonts w:cstheme="minorHAnsi"/>
                <w:bCs/>
              </w:rPr>
              <w:t>Updated</w:t>
            </w:r>
          </w:p>
        </w:tc>
      </w:tr>
      <w:tr w:rsidR="00D16ED4" w:rsidRPr="000D7A58" w14:paraId="09E33497" w14:textId="77777777" w:rsidTr="00AB0CEF">
        <w:tc>
          <w:tcPr>
            <w:tcW w:w="1615" w:type="dxa"/>
            <w:tcBorders>
              <w:top w:val="nil"/>
              <w:left w:val="nil"/>
              <w:bottom w:val="double" w:sz="4" w:space="0" w:color="auto"/>
              <w:right w:val="single" w:sz="4" w:space="0" w:color="auto"/>
            </w:tcBorders>
          </w:tcPr>
          <w:p w14:paraId="780D60D3" w14:textId="77777777" w:rsidR="00D16ED4" w:rsidRPr="000D7A58" w:rsidRDefault="00D16ED4" w:rsidP="00AB0CEF">
            <w:pPr>
              <w:rPr>
                <w:rFonts w:cstheme="minorHAnsi"/>
                <w:bCs/>
              </w:rPr>
            </w:pPr>
          </w:p>
        </w:tc>
        <w:tc>
          <w:tcPr>
            <w:tcW w:w="1800" w:type="dxa"/>
            <w:tcBorders>
              <w:top w:val="single" w:sz="4" w:space="0" w:color="auto"/>
              <w:left w:val="single" w:sz="4" w:space="0" w:color="auto"/>
              <w:bottom w:val="double" w:sz="4" w:space="0" w:color="auto"/>
            </w:tcBorders>
          </w:tcPr>
          <w:p w14:paraId="34486FA5" w14:textId="77777777" w:rsidR="00D16ED4" w:rsidRPr="000D7A58" w:rsidRDefault="00D16ED4" w:rsidP="00AB0CEF">
            <w:pPr>
              <w:jc w:val="center"/>
              <w:rPr>
                <w:rFonts w:cstheme="minorHAnsi"/>
                <w:bCs/>
              </w:rPr>
            </w:pPr>
            <w:r w:rsidRPr="000D7A58">
              <w:rPr>
                <w:rFonts w:cstheme="minorHAnsi"/>
                <w:bCs/>
              </w:rPr>
              <w:t>2023-24</w:t>
            </w:r>
          </w:p>
        </w:tc>
        <w:tc>
          <w:tcPr>
            <w:tcW w:w="2070" w:type="dxa"/>
            <w:tcBorders>
              <w:top w:val="single" w:sz="4" w:space="0" w:color="auto"/>
              <w:bottom w:val="double" w:sz="4" w:space="0" w:color="auto"/>
            </w:tcBorders>
          </w:tcPr>
          <w:p w14:paraId="59EFE37B" w14:textId="77777777" w:rsidR="00D16ED4" w:rsidRPr="000D7A58" w:rsidRDefault="00D16ED4" w:rsidP="00AB0CEF">
            <w:pPr>
              <w:jc w:val="center"/>
              <w:rPr>
                <w:rFonts w:cstheme="minorHAnsi"/>
                <w:bCs/>
              </w:rPr>
            </w:pPr>
            <w:r w:rsidRPr="000D7A58">
              <w:rPr>
                <w:rFonts w:cstheme="minorHAnsi"/>
                <w:bCs/>
              </w:rPr>
              <w:t>2024-25</w:t>
            </w:r>
          </w:p>
        </w:tc>
        <w:tc>
          <w:tcPr>
            <w:tcW w:w="1890" w:type="dxa"/>
            <w:tcBorders>
              <w:top w:val="single" w:sz="4" w:space="0" w:color="auto"/>
              <w:bottom w:val="double" w:sz="4" w:space="0" w:color="auto"/>
            </w:tcBorders>
          </w:tcPr>
          <w:p w14:paraId="62F6DE04" w14:textId="77777777" w:rsidR="00D16ED4" w:rsidRPr="000D7A58" w:rsidRDefault="00D16ED4" w:rsidP="00AB0CEF">
            <w:pPr>
              <w:jc w:val="center"/>
              <w:rPr>
                <w:rFonts w:cstheme="minorHAnsi"/>
                <w:bCs/>
              </w:rPr>
            </w:pPr>
            <w:r w:rsidRPr="000D7A58">
              <w:rPr>
                <w:rFonts w:cstheme="minorHAnsi"/>
                <w:bCs/>
              </w:rPr>
              <w:t>2025-26</w:t>
            </w:r>
          </w:p>
        </w:tc>
        <w:tc>
          <w:tcPr>
            <w:tcW w:w="1975" w:type="dxa"/>
            <w:gridSpan w:val="2"/>
            <w:tcBorders>
              <w:top w:val="single" w:sz="4" w:space="0" w:color="auto"/>
              <w:bottom w:val="double" w:sz="4" w:space="0" w:color="auto"/>
            </w:tcBorders>
          </w:tcPr>
          <w:p w14:paraId="33B034B8" w14:textId="77777777" w:rsidR="00D16ED4" w:rsidRPr="000D7A58" w:rsidRDefault="00D16ED4" w:rsidP="00AB0CEF">
            <w:pPr>
              <w:jc w:val="center"/>
              <w:rPr>
                <w:rFonts w:cstheme="minorHAnsi"/>
                <w:bCs/>
              </w:rPr>
            </w:pPr>
            <w:r w:rsidRPr="000D7A58">
              <w:rPr>
                <w:rFonts w:cstheme="minorHAnsi"/>
                <w:bCs/>
              </w:rPr>
              <w:t>2026-27</w:t>
            </w:r>
          </w:p>
        </w:tc>
      </w:tr>
      <w:tr w:rsidR="00010199" w:rsidRPr="000D7A58" w14:paraId="2A999974" w14:textId="77777777" w:rsidTr="00AB0CEF">
        <w:tc>
          <w:tcPr>
            <w:tcW w:w="1615" w:type="dxa"/>
            <w:tcBorders>
              <w:top w:val="double" w:sz="4" w:space="0" w:color="auto"/>
            </w:tcBorders>
          </w:tcPr>
          <w:p w14:paraId="365873BB" w14:textId="1102A80C" w:rsidR="00010199" w:rsidRPr="000D7A58" w:rsidRDefault="00010199" w:rsidP="00AB0CEF">
            <w:r w:rsidRPr="000D7A58">
              <w:t>Met</w:t>
            </w:r>
          </w:p>
        </w:tc>
        <w:tc>
          <w:tcPr>
            <w:tcW w:w="1800" w:type="dxa"/>
            <w:tcBorders>
              <w:top w:val="double" w:sz="4" w:space="0" w:color="auto"/>
            </w:tcBorders>
          </w:tcPr>
          <w:p w14:paraId="7A5C92EA" w14:textId="26124AE6" w:rsidR="00010199" w:rsidRPr="000D7A58" w:rsidRDefault="00010199" w:rsidP="00D16ED4">
            <w:pPr>
              <w:jc w:val="center"/>
            </w:pPr>
            <w:r>
              <w:t>23</w:t>
            </w:r>
            <w:r w:rsidRPr="000D7A58">
              <w:t>% or greater</w:t>
            </w:r>
          </w:p>
        </w:tc>
        <w:tc>
          <w:tcPr>
            <w:tcW w:w="2070" w:type="dxa"/>
            <w:tcBorders>
              <w:top w:val="double" w:sz="4" w:space="0" w:color="auto"/>
            </w:tcBorders>
          </w:tcPr>
          <w:p w14:paraId="4C7D0DDF" w14:textId="4E51F995" w:rsidR="00010199" w:rsidRPr="000D7A58" w:rsidRDefault="00010199" w:rsidP="00D16ED4">
            <w:pPr>
              <w:jc w:val="center"/>
            </w:pPr>
            <w:r>
              <w:t>26%+</w:t>
            </w:r>
          </w:p>
        </w:tc>
        <w:tc>
          <w:tcPr>
            <w:tcW w:w="1980" w:type="dxa"/>
            <w:gridSpan w:val="2"/>
            <w:tcBorders>
              <w:top w:val="double" w:sz="4" w:space="0" w:color="auto"/>
            </w:tcBorders>
          </w:tcPr>
          <w:p w14:paraId="748A0F62" w14:textId="6B560AD4" w:rsidR="00010199" w:rsidRPr="000D7A58" w:rsidRDefault="00010199" w:rsidP="00D16ED4">
            <w:pPr>
              <w:jc w:val="center"/>
            </w:pPr>
            <w:r>
              <w:t>27%+</w:t>
            </w:r>
          </w:p>
        </w:tc>
        <w:tc>
          <w:tcPr>
            <w:tcW w:w="1885" w:type="dxa"/>
            <w:tcBorders>
              <w:top w:val="double" w:sz="4" w:space="0" w:color="auto"/>
            </w:tcBorders>
          </w:tcPr>
          <w:p w14:paraId="6F7D079A" w14:textId="687DE473" w:rsidR="00010199" w:rsidRPr="000D7A58" w:rsidRDefault="00010199" w:rsidP="00D16ED4">
            <w:pPr>
              <w:jc w:val="center"/>
              <w:rPr>
                <w:rFonts w:cstheme="minorHAnsi"/>
                <w:bCs/>
              </w:rPr>
            </w:pPr>
            <w:r>
              <w:rPr>
                <w:rFonts w:cstheme="minorHAnsi"/>
                <w:bCs/>
              </w:rPr>
              <w:t>28</w:t>
            </w:r>
            <w:r w:rsidRPr="000D7A58">
              <w:rPr>
                <w:rFonts w:cstheme="minorHAnsi"/>
                <w:bCs/>
              </w:rPr>
              <w:t>%</w:t>
            </w:r>
            <w:r>
              <w:rPr>
                <w:rFonts w:cstheme="minorHAnsi"/>
                <w:bCs/>
              </w:rPr>
              <w:t>+</w:t>
            </w:r>
          </w:p>
        </w:tc>
      </w:tr>
      <w:tr w:rsidR="00010199" w:rsidRPr="000D7A58" w14:paraId="49641404" w14:textId="77777777" w:rsidTr="00AB0CEF">
        <w:tc>
          <w:tcPr>
            <w:tcW w:w="1615" w:type="dxa"/>
          </w:tcPr>
          <w:p w14:paraId="61A0D061" w14:textId="77777777" w:rsidR="00010199" w:rsidRPr="000D7A58" w:rsidRDefault="00010199" w:rsidP="00AB0CEF">
            <w:r w:rsidRPr="000D7A58">
              <w:t>Almost Met</w:t>
            </w:r>
          </w:p>
        </w:tc>
        <w:tc>
          <w:tcPr>
            <w:tcW w:w="1800" w:type="dxa"/>
          </w:tcPr>
          <w:p w14:paraId="7166FFE3" w14:textId="66582C99" w:rsidR="00010199" w:rsidRPr="000D7A58" w:rsidRDefault="00010199" w:rsidP="00D16ED4">
            <w:pPr>
              <w:jc w:val="center"/>
            </w:pPr>
            <w:r>
              <w:t>21 – 23%</w:t>
            </w:r>
          </w:p>
        </w:tc>
        <w:tc>
          <w:tcPr>
            <w:tcW w:w="2070" w:type="dxa"/>
          </w:tcPr>
          <w:p w14:paraId="1773A1D3" w14:textId="2A762F76" w:rsidR="00010199" w:rsidRPr="000D7A58" w:rsidRDefault="00010199" w:rsidP="00D16ED4">
            <w:pPr>
              <w:jc w:val="center"/>
            </w:pPr>
            <w:r>
              <w:t>22 – 25%</w:t>
            </w:r>
          </w:p>
        </w:tc>
        <w:tc>
          <w:tcPr>
            <w:tcW w:w="1980" w:type="dxa"/>
            <w:gridSpan w:val="2"/>
          </w:tcPr>
          <w:p w14:paraId="4A13E6F4" w14:textId="0856C119" w:rsidR="00010199" w:rsidRPr="000D7A58" w:rsidRDefault="00010199" w:rsidP="00D16ED4">
            <w:pPr>
              <w:jc w:val="center"/>
            </w:pPr>
            <w:r>
              <w:t>23 – 26%</w:t>
            </w:r>
          </w:p>
        </w:tc>
        <w:tc>
          <w:tcPr>
            <w:tcW w:w="1885" w:type="dxa"/>
          </w:tcPr>
          <w:p w14:paraId="78900D88" w14:textId="281345FD" w:rsidR="00010199" w:rsidRPr="000D7A58" w:rsidRDefault="00010199" w:rsidP="00D16ED4">
            <w:pPr>
              <w:jc w:val="center"/>
              <w:rPr>
                <w:rFonts w:cstheme="minorHAnsi"/>
                <w:bCs/>
              </w:rPr>
            </w:pPr>
            <w:r>
              <w:rPr>
                <w:rFonts w:cstheme="minorHAnsi"/>
                <w:bCs/>
              </w:rPr>
              <w:t>24 – 27%</w:t>
            </w:r>
          </w:p>
        </w:tc>
      </w:tr>
      <w:tr w:rsidR="00010199" w:rsidRPr="000D7A58" w14:paraId="488896CB" w14:textId="77777777" w:rsidTr="00AB0CEF">
        <w:tc>
          <w:tcPr>
            <w:tcW w:w="1615" w:type="dxa"/>
          </w:tcPr>
          <w:p w14:paraId="1F60AFCD" w14:textId="77777777" w:rsidR="00010199" w:rsidRPr="000D7A58" w:rsidRDefault="00010199" w:rsidP="00AB0CEF">
            <w:r w:rsidRPr="000D7A58">
              <w:t>Not Met</w:t>
            </w:r>
          </w:p>
        </w:tc>
        <w:tc>
          <w:tcPr>
            <w:tcW w:w="1800" w:type="dxa"/>
          </w:tcPr>
          <w:p w14:paraId="5B4516D9" w14:textId="52CF93B7" w:rsidR="00010199" w:rsidRPr="000D7A58" w:rsidRDefault="00010199" w:rsidP="00D16ED4">
            <w:pPr>
              <w:jc w:val="center"/>
            </w:pPr>
            <w:r w:rsidRPr="000D7A58">
              <w:t xml:space="preserve">Below </w:t>
            </w:r>
            <w:r>
              <w:t>21</w:t>
            </w:r>
            <w:r w:rsidRPr="000D7A58">
              <w:t>%</w:t>
            </w:r>
          </w:p>
        </w:tc>
        <w:tc>
          <w:tcPr>
            <w:tcW w:w="2070" w:type="dxa"/>
          </w:tcPr>
          <w:p w14:paraId="048A78B3" w14:textId="2351EACC" w:rsidR="00010199" w:rsidRPr="000D7A58" w:rsidRDefault="00010199" w:rsidP="00D16ED4">
            <w:pPr>
              <w:jc w:val="center"/>
            </w:pPr>
            <w:r w:rsidRPr="000D7A58">
              <w:t xml:space="preserve">Below </w:t>
            </w:r>
            <w:r>
              <w:t>22</w:t>
            </w:r>
            <w:r w:rsidRPr="000D7A58">
              <w:t>%</w:t>
            </w:r>
          </w:p>
        </w:tc>
        <w:tc>
          <w:tcPr>
            <w:tcW w:w="1980" w:type="dxa"/>
            <w:gridSpan w:val="2"/>
          </w:tcPr>
          <w:p w14:paraId="4F4513CA" w14:textId="4A884DDE" w:rsidR="00010199" w:rsidRPr="000D7A58" w:rsidRDefault="00010199" w:rsidP="00D16ED4">
            <w:pPr>
              <w:jc w:val="center"/>
            </w:pPr>
            <w:r w:rsidRPr="000D7A58">
              <w:t xml:space="preserve">Below </w:t>
            </w:r>
            <w:r>
              <w:t>23</w:t>
            </w:r>
            <w:r w:rsidRPr="000D7A58">
              <w:t>%</w:t>
            </w:r>
          </w:p>
        </w:tc>
        <w:tc>
          <w:tcPr>
            <w:tcW w:w="1885" w:type="dxa"/>
          </w:tcPr>
          <w:p w14:paraId="2814FF08" w14:textId="56BEFBC8" w:rsidR="00010199" w:rsidRPr="000D7A58" w:rsidRDefault="00010199" w:rsidP="00D16ED4">
            <w:pPr>
              <w:jc w:val="center"/>
              <w:rPr>
                <w:rFonts w:cstheme="minorHAnsi"/>
                <w:bCs/>
              </w:rPr>
            </w:pPr>
            <w:r w:rsidRPr="000D7A58">
              <w:rPr>
                <w:rFonts w:cstheme="minorHAnsi"/>
                <w:bCs/>
              </w:rPr>
              <w:t xml:space="preserve">Below </w:t>
            </w:r>
            <w:r>
              <w:rPr>
                <w:rFonts w:cstheme="minorHAnsi"/>
                <w:bCs/>
              </w:rPr>
              <w:t>24</w:t>
            </w:r>
            <w:r w:rsidRPr="000D7A58">
              <w:rPr>
                <w:rFonts w:cstheme="minorHAnsi"/>
                <w:bCs/>
              </w:rPr>
              <w:t>%</w:t>
            </w:r>
          </w:p>
        </w:tc>
      </w:tr>
    </w:tbl>
    <w:p w14:paraId="3309745B" w14:textId="72D11DA6" w:rsidR="00010199" w:rsidRDefault="00010199" w:rsidP="00F22351">
      <w:pPr>
        <w:rPr>
          <w:rFonts w:cstheme="minorHAnsi"/>
          <w:bCs/>
        </w:rPr>
      </w:pPr>
    </w:p>
    <w:p w14:paraId="3E51C4E0" w14:textId="59039B8D" w:rsidR="00517A2E" w:rsidRPr="009C742B" w:rsidRDefault="00517A2E" w:rsidP="00517A2E">
      <w:pPr>
        <w:rPr>
          <w:rFonts w:cstheme="minorHAnsi"/>
          <w:bCs/>
        </w:rPr>
      </w:pPr>
      <w:r>
        <w:rPr>
          <w:rFonts w:cstheme="minorHAnsi"/>
          <w:bCs/>
          <w:u w:val="single"/>
        </w:rPr>
        <w:t>Peer Institutions</w:t>
      </w:r>
      <w:r>
        <w:rPr>
          <w:rFonts w:cstheme="minorHAnsi"/>
          <w:bCs/>
        </w:rPr>
        <w:t xml:space="preserve">: COCC’s </w:t>
      </w:r>
      <w:r w:rsidR="00CB182F">
        <w:rPr>
          <w:rFonts w:cstheme="minorHAnsi"/>
          <w:bCs/>
        </w:rPr>
        <w:t xml:space="preserve">IPEDS </w:t>
      </w:r>
      <w:r>
        <w:rPr>
          <w:rFonts w:cstheme="minorHAnsi"/>
          <w:bCs/>
        </w:rPr>
        <w:t>peer institution</w:t>
      </w:r>
      <w:r w:rsidR="00CB182F">
        <w:rPr>
          <w:rFonts w:cstheme="minorHAnsi"/>
          <w:bCs/>
        </w:rPr>
        <w:t>s had an</w:t>
      </w:r>
      <w:r>
        <w:t xml:space="preserve"> average graduation rate </w:t>
      </w:r>
      <w:r w:rsidR="00CB182F">
        <w:t>of</w:t>
      </w:r>
      <w:r>
        <w:t xml:space="preserve"> 32%. The average graduation rate amongst Oregon community colleges was 22%.</w:t>
      </w:r>
    </w:p>
    <w:p w14:paraId="5B6B4C0F" w14:textId="77777777" w:rsidR="00517A2E" w:rsidRDefault="00517A2E" w:rsidP="00F22351">
      <w:pPr>
        <w:rPr>
          <w:rFonts w:cstheme="minorHAnsi"/>
          <w:bCs/>
        </w:rPr>
      </w:pPr>
    </w:p>
    <w:p w14:paraId="7BFB8113" w14:textId="5A9005B3" w:rsidR="00010199" w:rsidRPr="00010199" w:rsidRDefault="00010199" w:rsidP="00F22351">
      <w:pPr>
        <w:rPr>
          <w:rFonts w:cstheme="minorHAnsi"/>
          <w:bCs/>
        </w:rPr>
      </w:pPr>
      <w:r>
        <w:rPr>
          <w:rFonts w:cstheme="minorHAnsi"/>
          <w:bCs/>
          <w:u w:val="single"/>
        </w:rPr>
        <w:t>Progress</w:t>
      </w:r>
      <w:r>
        <w:rPr>
          <w:rFonts w:cstheme="minorHAnsi"/>
          <w:bCs/>
        </w:rPr>
        <w:t xml:space="preserve">: </w:t>
      </w:r>
      <w:r w:rsidR="00664FAC">
        <w:rPr>
          <w:rFonts w:cstheme="minorHAnsi"/>
          <w:bCs/>
        </w:rPr>
        <w:t>T</w:t>
      </w:r>
      <w:r w:rsidR="00CB182F">
        <w:rPr>
          <w:rFonts w:cstheme="minorHAnsi"/>
          <w:bCs/>
        </w:rPr>
        <w:t>o ensure availability of peer institution data, graduation rates are measured in winter term of the following year. With this, t</w:t>
      </w:r>
      <w:r w:rsidR="00664FAC">
        <w:rPr>
          <w:rFonts w:cstheme="minorHAnsi"/>
          <w:bCs/>
        </w:rPr>
        <w:t>he fall 2021 cohort three-year graduation rate is determined in winter 2025.</w:t>
      </w:r>
      <w:r w:rsidR="00CB182F">
        <w:rPr>
          <w:rFonts w:cstheme="minorHAnsi"/>
          <w:bCs/>
        </w:rPr>
        <w:t xml:space="preserve"> T</w:t>
      </w:r>
      <w:r w:rsidR="00664FAC">
        <w:rPr>
          <w:rFonts w:cstheme="minorHAnsi"/>
          <w:bCs/>
        </w:rPr>
        <w:t xml:space="preserve">heir graduation rate was 25%, at the high end of the “Almost Met” target. When reviewing the actual headcount, only six more graduates would have helped COCC achieve </w:t>
      </w:r>
      <w:r w:rsidR="00CB182F">
        <w:rPr>
          <w:rFonts w:cstheme="minorHAnsi"/>
          <w:bCs/>
        </w:rPr>
        <w:t>its</w:t>
      </w:r>
      <w:r w:rsidR="00664FAC">
        <w:rPr>
          <w:rFonts w:cstheme="minorHAnsi"/>
          <w:bCs/>
        </w:rPr>
        <w:t xml:space="preserve"> 26% graduation rate </w:t>
      </w:r>
      <w:r w:rsidR="00CB182F">
        <w:rPr>
          <w:rFonts w:cstheme="minorHAnsi"/>
          <w:bCs/>
        </w:rPr>
        <w:t xml:space="preserve">target </w:t>
      </w:r>
      <w:r w:rsidR="00664FAC">
        <w:rPr>
          <w:rFonts w:cstheme="minorHAnsi"/>
          <w:bCs/>
        </w:rPr>
        <w:t xml:space="preserve">and therefore, meet its target. </w:t>
      </w:r>
      <w:r w:rsidR="00CB182F">
        <w:rPr>
          <w:rFonts w:cstheme="minorHAnsi"/>
          <w:bCs/>
        </w:rPr>
        <w:t>D</w:t>
      </w:r>
      <w:r w:rsidR="00D4674D">
        <w:rPr>
          <w:rFonts w:cstheme="minorHAnsi"/>
          <w:bCs/>
        </w:rPr>
        <w:t>ata for the fall 2022 cohort (those anticipated to graduate June 2025) will be available in mid-summer.</w:t>
      </w:r>
    </w:p>
    <w:p w14:paraId="6132BA31" w14:textId="721DE56E" w:rsidR="00F22351" w:rsidRPr="000D7A58" w:rsidRDefault="00F22351" w:rsidP="00F22351"/>
    <w:p w14:paraId="33FF4E4E" w14:textId="14BDB9E9"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Transfer Rates</w:t>
      </w:r>
      <w:r w:rsidRPr="000D7A58">
        <w:rPr>
          <w:rFonts w:cstheme="minorHAnsi"/>
          <w:b/>
        </w:rPr>
        <w:tab/>
        <w:t>Annemarie Hamlin &amp; Alicia Moore</w:t>
      </w:r>
    </w:p>
    <w:p w14:paraId="646BC6C6" w14:textId="77777777" w:rsidR="009E1826" w:rsidRPr="000D7A58" w:rsidRDefault="009E1826" w:rsidP="009E1826">
      <w:pPr>
        <w:rPr>
          <w:rFonts w:cstheme="minorHAnsi"/>
          <w:bCs/>
        </w:rPr>
      </w:pPr>
    </w:p>
    <w:p w14:paraId="4BF884DD" w14:textId="180DF857" w:rsidR="00CF61D1" w:rsidRPr="000704BF" w:rsidRDefault="009E1826" w:rsidP="00CF61D1">
      <w:r w:rsidRPr="000D7A58">
        <w:rPr>
          <w:rFonts w:cstheme="minorHAnsi"/>
          <w:bCs/>
          <w:u w:val="single"/>
        </w:rPr>
        <w:t>Rationale for Indicato</w:t>
      </w:r>
      <w:r w:rsidR="00BB4B49" w:rsidRPr="000D7A58">
        <w:rPr>
          <w:rFonts w:cstheme="minorHAnsi"/>
          <w:bCs/>
          <w:u w:val="single"/>
        </w:rPr>
        <w:t>r</w:t>
      </w:r>
      <w:r w:rsidR="00BB4B49" w:rsidRPr="00CB182F">
        <w:rPr>
          <w:rFonts w:cstheme="minorHAnsi"/>
          <w:bCs/>
        </w:rPr>
        <w:t xml:space="preserve">: </w:t>
      </w:r>
      <w:r w:rsidR="00CF61D1">
        <w:rPr>
          <w:rFonts w:cstheme="minorHAnsi"/>
          <w:bCs/>
        </w:rPr>
        <w:t>Student transfer rates to other institutions round out the most common student success metrics measured by community colleges. This indicator was chosen because like the others, it has potential to be impacted by many of the 2023-27 Strategic Plan action projects.</w:t>
      </w:r>
    </w:p>
    <w:p w14:paraId="6E5D9045" w14:textId="77777777" w:rsidR="009E1826" w:rsidRPr="000D7A58" w:rsidRDefault="009E1826" w:rsidP="009E1826">
      <w:pPr>
        <w:rPr>
          <w:rFonts w:cstheme="minorHAnsi"/>
          <w:bCs/>
          <w:u w:val="single"/>
        </w:rPr>
      </w:pPr>
    </w:p>
    <w:p w14:paraId="16748FBE" w14:textId="6D876AB9" w:rsidR="009E1826" w:rsidRPr="000D7A58" w:rsidRDefault="009E1826" w:rsidP="009E1826">
      <w:pPr>
        <w:rPr>
          <w:rFonts w:cstheme="minorHAnsi"/>
          <w:bCs/>
        </w:rPr>
      </w:pPr>
      <w:r w:rsidRPr="000D7A58">
        <w:rPr>
          <w:rFonts w:cstheme="minorHAnsi"/>
          <w:bCs/>
          <w:u w:val="single"/>
        </w:rPr>
        <w:t>Definition</w:t>
      </w:r>
      <w:r w:rsidR="00BB4B49" w:rsidRPr="00CB182F">
        <w:rPr>
          <w:rFonts w:cstheme="minorHAnsi"/>
          <w:bCs/>
        </w:rPr>
        <w:t>:</w:t>
      </w:r>
      <w:r w:rsidR="00BB4B49" w:rsidRPr="000D7A58">
        <w:rPr>
          <w:rFonts w:cstheme="minorHAnsi"/>
          <w:bCs/>
        </w:rPr>
        <w:t xml:space="preserve"> </w:t>
      </w:r>
      <w:r w:rsidR="00CF61D1" w:rsidRPr="003F101F">
        <w:rPr>
          <w:rFonts w:cstheme="minorHAnsi"/>
          <w:bCs/>
        </w:rPr>
        <w:t>Transfer rate as measured by the National Center for Educational Statistics IPEDS data system</w:t>
      </w:r>
      <w:r w:rsidR="00CB182F">
        <w:rPr>
          <w:rFonts w:cstheme="minorHAnsi"/>
          <w:bCs/>
        </w:rPr>
        <w:t xml:space="preserve"> is</w:t>
      </w:r>
      <w:r w:rsidR="00CF61D1" w:rsidRPr="003F101F">
        <w:rPr>
          <w:rFonts w:cstheme="minorHAnsi"/>
          <w:bCs/>
        </w:rPr>
        <w:t xml:space="preserve"> first-time students who were registered in one fall quarter and </w:t>
      </w:r>
      <w:r w:rsidR="00CF61D1" w:rsidRPr="003F101F">
        <w:t>transfer to a two- or four-year institution before earning a completion within three years.</w:t>
      </w:r>
    </w:p>
    <w:p w14:paraId="10BB3C6D" w14:textId="77777777" w:rsidR="009E1826" w:rsidRPr="000D7A58" w:rsidRDefault="009E1826" w:rsidP="009E1826">
      <w:pPr>
        <w:rPr>
          <w:rFonts w:cstheme="minorHAnsi"/>
          <w:bCs/>
        </w:rPr>
      </w:pPr>
    </w:p>
    <w:p w14:paraId="2BC4A9CB" w14:textId="77777777" w:rsidR="00A833E4" w:rsidRDefault="009E1826" w:rsidP="00A833E4">
      <w:pPr>
        <w:rPr>
          <w:rFonts w:cstheme="minorHAnsi"/>
          <w:bCs/>
        </w:rPr>
      </w:pPr>
      <w:r w:rsidRPr="000D7A58">
        <w:rPr>
          <w:rFonts w:cstheme="minorHAnsi"/>
          <w:bCs/>
          <w:u w:val="single"/>
        </w:rPr>
        <w:t>Targets</w:t>
      </w:r>
      <w:r w:rsidR="00BB4B49" w:rsidRPr="00CB182F">
        <w:rPr>
          <w:rFonts w:cstheme="minorHAnsi"/>
          <w:bCs/>
        </w:rPr>
        <w:t>:</w:t>
      </w:r>
      <w:r w:rsidR="00BB4B49" w:rsidRPr="000D7A58">
        <w:t xml:space="preserve"> </w:t>
      </w:r>
      <w:r w:rsidR="00A833E4">
        <w:t xml:space="preserve">Like other indicators for this goal, the College set targets based on historical averages and once peer institution data became available, it was able to increase its targets. </w:t>
      </w:r>
      <w:r w:rsidR="00A833E4">
        <w:rPr>
          <w:rFonts w:cstheme="minorHAnsi"/>
          <w:bCs/>
        </w:rPr>
        <w:t>Based on this, new targets for years two through four are:</w:t>
      </w:r>
    </w:p>
    <w:p w14:paraId="32B2966E" w14:textId="6C652BBE" w:rsidR="00A833E4" w:rsidRDefault="00A833E4" w:rsidP="00A833E4">
      <w:pPr>
        <w:rPr>
          <w:rFonts w:cstheme="minorHAnsi"/>
          <w:bCs/>
        </w:rPr>
      </w:pPr>
    </w:p>
    <w:tbl>
      <w:tblPr>
        <w:tblStyle w:val="TableGrid"/>
        <w:tblW w:w="0" w:type="auto"/>
        <w:tblLook w:val="04A0" w:firstRow="1" w:lastRow="0" w:firstColumn="1" w:lastColumn="0" w:noHBand="0" w:noVBand="1"/>
      </w:tblPr>
      <w:tblGrid>
        <w:gridCol w:w="1615"/>
        <w:gridCol w:w="1800"/>
        <w:gridCol w:w="2070"/>
        <w:gridCol w:w="1895"/>
        <w:gridCol w:w="1975"/>
      </w:tblGrid>
      <w:tr w:rsidR="00D16ED4" w:rsidRPr="000D7A58" w14:paraId="70DA26FC" w14:textId="77777777" w:rsidTr="00AB0CEF">
        <w:tc>
          <w:tcPr>
            <w:tcW w:w="1615" w:type="dxa"/>
            <w:tcBorders>
              <w:top w:val="nil"/>
              <w:left w:val="nil"/>
              <w:bottom w:val="nil"/>
              <w:right w:val="single" w:sz="4" w:space="0" w:color="auto"/>
            </w:tcBorders>
          </w:tcPr>
          <w:p w14:paraId="7E1A0B21" w14:textId="77777777" w:rsidR="00D16ED4" w:rsidRPr="000D7A58" w:rsidRDefault="00D16ED4" w:rsidP="00AB0CEF">
            <w:pPr>
              <w:rPr>
                <w:rFonts w:cstheme="minorHAnsi"/>
                <w:bCs/>
              </w:rPr>
            </w:pPr>
          </w:p>
        </w:tc>
        <w:tc>
          <w:tcPr>
            <w:tcW w:w="1800" w:type="dxa"/>
            <w:tcBorders>
              <w:left w:val="single" w:sz="4" w:space="0" w:color="auto"/>
              <w:bottom w:val="single" w:sz="4" w:space="0" w:color="auto"/>
            </w:tcBorders>
          </w:tcPr>
          <w:p w14:paraId="4829DAF0" w14:textId="77777777" w:rsidR="00D16ED4" w:rsidRPr="000D7A58" w:rsidRDefault="00D16ED4" w:rsidP="00AB0CEF">
            <w:pPr>
              <w:jc w:val="center"/>
              <w:rPr>
                <w:rFonts w:cstheme="minorHAnsi"/>
                <w:bCs/>
              </w:rPr>
            </w:pPr>
            <w:r>
              <w:rPr>
                <w:rFonts w:cstheme="minorHAnsi"/>
                <w:bCs/>
              </w:rPr>
              <w:t>Original</w:t>
            </w:r>
          </w:p>
        </w:tc>
        <w:tc>
          <w:tcPr>
            <w:tcW w:w="5935" w:type="dxa"/>
            <w:gridSpan w:val="3"/>
            <w:tcBorders>
              <w:bottom w:val="single" w:sz="4" w:space="0" w:color="auto"/>
            </w:tcBorders>
          </w:tcPr>
          <w:p w14:paraId="08C10B46" w14:textId="77777777" w:rsidR="00D16ED4" w:rsidRPr="000D7A58" w:rsidRDefault="00D16ED4" w:rsidP="00AB0CEF">
            <w:pPr>
              <w:jc w:val="center"/>
              <w:rPr>
                <w:rFonts w:cstheme="minorHAnsi"/>
                <w:bCs/>
              </w:rPr>
            </w:pPr>
            <w:r>
              <w:rPr>
                <w:rFonts w:cstheme="minorHAnsi"/>
                <w:bCs/>
              </w:rPr>
              <w:t>Updated</w:t>
            </w:r>
          </w:p>
        </w:tc>
      </w:tr>
      <w:tr w:rsidR="00D16ED4" w:rsidRPr="000D7A58" w14:paraId="0EDE0B19" w14:textId="77777777" w:rsidTr="00AB0CEF">
        <w:tc>
          <w:tcPr>
            <w:tcW w:w="1615" w:type="dxa"/>
            <w:tcBorders>
              <w:top w:val="nil"/>
              <w:left w:val="nil"/>
              <w:bottom w:val="double" w:sz="4" w:space="0" w:color="auto"/>
              <w:right w:val="single" w:sz="4" w:space="0" w:color="auto"/>
            </w:tcBorders>
          </w:tcPr>
          <w:p w14:paraId="7C169857" w14:textId="77777777" w:rsidR="00D16ED4" w:rsidRPr="000D7A58" w:rsidRDefault="00D16ED4" w:rsidP="00AB0CEF">
            <w:pPr>
              <w:rPr>
                <w:rFonts w:cstheme="minorHAnsi"/>
                <w:bCs/>
              </w:rPr>
            </w:pPr>
          </w:p>
        </w:tc>
        <w:tc>
          <w:tcPr>
            <w:tcW w:w="1800" w:type="dxa"/>
            <w:tcBorders>
              <w:top w:val="single" w:sz="4" w:space="0" w:color="auto"/>
              <w:left w:val="single" w:sz="4" w:space="0" w:color="auto"/>
              <w:bottom w:val="double" w:sz="4" w:space="0" w:color="auto"/>
            </w:tcBorders>
          </w:tcPr>
          <w:p w14:paraId="09DF391F" w14:textId="77777777" w:rsidR="00D16ED4" w:rsidRPr="000D7A58" w:rsidRDefault="00D16ED4" w:rsidP="00AB0CEF">
            <w:pPr>
              <w:jc w:val="center"/>
              <w:rPr>
                <w:rFonts w:cstheme="minorHAnsi"/>
                <w:bCs/>
              </w:rPr>
            </w:pPr>
            <w:r w:rsidRPr="000D7A58">
              <w:rPr>
                <w:rFonts w:cstheme="minorHAnsi"/>
                <w:bCs/>
              </w:rPr>
              <w:t>2023-24</w:t>
            </w:r>
          </w:p>
        </w:tc>
        <w:tc>
          <w:tcPr>
            <w:tcW w:w="2070" w:type="dxa"/>
            <w:tcBorders>
              <w:top w:val="single" w:sz="4" w:space="0" w:color="auto"/>
              <w:bottom w:val="double" w:sz="4" w:space="0" w:color="auto"/>
            </w:tcBorders>
          </w:tcPr>
          <w:p w14:paraId="539F02F2" w14:textId="77777777" w:rsidR="00D16ED4" w:rsidRPr="000D7A58" w:rsidRDefault="00D16ED4" w:rsidP="00AB0CEF">
            <w:pPr>
              <w:jc w:val="center"/>
              <w:rPr>
                <w:rFonts w:cstheme="minorHAnsi"/>
                <w:bCs/>
              </w:rPr>
            </w:pPr>
            <w:r w:rsidRPr="000D7A58">
              <w:rPr>
                <w:rFonts w:cstheme="minorHAnsi"/>
                <w:bCs/>
              </w:rPr>
              <w:t>2024-25</w:t>
            </w:r>
          </w:p>
        </w:tc>
        <w:tc>
          <w:tcPr>
            <w:tcW w:w="1890" w:type="dxa"/>
            <w:tcBorders>
              <w:top w:val="single" w:sz="4" w:space="0" w:color="auto"/>
              <w:bottom w:val="double" w:sz="4" w:space="0" w:color="auto"/>
            </w:tcBorders>
          </w:tcPr>
          <w:p w14:paraId="1640EFF5" w14:textId="77777777" w:rsidR="00D16ED4" w:rsidRPr="000D7A58" w:rsidRDefault="00D16ED4" w:rsidP="00AB0CEF">
            <w:pPr>
              <w:jc w:val="center"/>
              <w:rPr>
                <w:rFonts w:cstheme="minorHAnsi"/>
                <w:bCs/>
              </w:rPr>
            </w:pPr>
            <w:r w:rsidRPr="000D7A58">
              <w:rPr>
                <w:rFonts w:cstheme="minorHAnsi"/>
                <w:bCs/>
              </w:rPr>
              <w:t>2025-26</w:t>
            </w:r>
          </w:p>
        </w:tc>
        <w:tc>
          <w:tcPr>
            <w:tcW w:w="1975" w:type="dxa"/>
            <w:tcBorders>
              <w:top w:val="single" w:sz="4" w:space="0" w:color="auto"/>
              <w:bottom w:val="double" w:sz="4" w:space="0" w:color="auto"/>
            </w:tcBorders>
          </w:tcPr>
          <w:p w14:paraId="54424F03" w14:textId="77777777" w:rsidR="00D16ED4" w:rsidRPr="000D7A58" w:rsidRDefault="00D16ED4" w:rsidP="00AB0CEF">
            <w:pPr>
              <w:jc w:val="center"/>
              <w:rPr>
                <w:rFonts w:cstheme="minorHAnsi"/>
                <w:bCs/>
              </w:rPr>
            </w:pPr>
            <w:r w:rsidRPr="000D7A58">
              <w:rPr>
                <w:rFonts w:cstheme="minorHAnsi"/>
                <w:bCs/>
              </w:rPr>
              <w:t>2026-27</w:t>
            </w:r>
          </w:p>
        </w:tc>
      </w:tr>
      <w:tr w:rsidR="00A833E4" w:rsidRPr="000D7A58" w14:paraId="160686CD" w14:textId="77777777" w:rsidTr="00CB182F">
        <w:tc>
          <w:tcPr>
            <w:tcW w:w="1615" w:type="dxa"/>
            <w:tcBorders>
              <w:top w:val="double" w:sz="4" w:space="0" w:color="auto"/>
            </w:tcBorders>
          </w:tcPr>
          <w:p w14:paraId="6EDF2524" w14:textId="40F1A2E3" w:rsidR="00A833E4" w:rsidRPr="000D7A58" w:rsidRDefault="00A833E4" w:rsidP="00AB0CEF">
            <w:r w:rsidRPr="000D7A58">
              <w:t>Met</w:t>
            </w:r>
          </w:p>
        </w:tc>
        <w:tc>
          <w:tcPr>
            <w:tcW w:w="1800" w:type="dxa"/>
            <w:tcBorders>
              <w:top w:val="double" w:sz="4" w:space="0" w:color="auto"/>
            </w:tcBorders>
          </w:tcPr>
          <w:p w14:paraId="01A0D409" w14:textId="77777777" w:rsidR="00A833E4" w:rsidRPr="000D7A58" w:rsidRDefault="00A833E4" w:rsidP="006F0FD0">
            <w:pPr>
              <w:jc w:val="center"/>
            </w:pPr>
            <w:r>
              <w:t>23</w:t>
            </w:r>
            <w:r w:rsidRPr="000D7A58">
              <w:t>% or greater</w:t>
            </w:r>
          </w:p>
        </w:tc>
        <w:tc>
          <w:tcPr>
            <w:tcW w:w="2070" w:type="dxa"/>
            <w:tcBorders>
              <w:top w:val="double" w:sz="4" w:space="0" w:color="auto"/>
            </w:tcBorders>
          </w:tcPr>
          <w:p w14:paraId="11F31DC9" w14:textId="71FCDCA0" w:rsidR="00A833E4" w:rsidRPr="000D7A58" w:rsidRDefault="00A833E4" w:rsidP="006F0FD0">
            <w:pPr>
              <w:jc w:val="center"/>
            </w:pPr>
            <w:r>
              <w:t>24%+</w:t>
            </w:r>
          </w:p>
        </w:tc>
        <w:tc>
          <w:tcPr>
            <w:tcW w:w="1895" w:type="dxa"/>
            <w:tcBorders>
              <w:top w:val="double" w:sz="4" w:space="0" w:color="auto"/>
            </w:tcBorders>
          </w:tcPr>
          <w:p w14:paraId="36CA6A8F" w14:textId="1644CB8C" w:rsidR="00A833E4" w:rsidRPr="000D7A58" w:rsidRDefault="00A833E4" w:rsidP="006F0FD0">
            <w:pPr>
              <w:jc w:val="center"/>
            </w:pPr>
            <w:r>
              <w:t>25%+</w:t>
            </w:r>
          </w:p>
        </w:tc>
        <w:tc>
          <w:tcPr>
            <w:tcW w:w="1970" w:type="dxa"/>
            <w:tcBorders>
              <w:top w:val="double" w:sz="4" w:space="0" w:color="auto"/>
            </w:tcBorders>
          </w:tcPr>
          <w:p w14:paraId="0E66BA52" w14:textId="568FE84A" w:rsidR="00A833E4" w:rsidRPr="000D7A58" w:rsidRDefault="00A833E4" w:rsidP="006F0FD0">
            <w:pPr>
              <w:jc w:val="center"/>
              <w:rPr>
                <w:rFonts w:cstheme="minorHAnsi"/>
                <w:bCs/>
              </w:rPr>
            </w:pPr>
            <w:r>
              <w:rPr>
                <w:rFonts w:cstheme="minorHAnsi"/>
                <w:bCs/>
              </w:rPr>
              <w:t>27</w:t>
            </w:r>
            <w:r w:rsidRPr="000D7A58">
              <w:rPr>
                <w:rFonts w:cstheme="minorHAnsi"/>
                <w:bCs/>
              </w:rPr>
              <w:t>%</w:t>
            </w:r>
            <w:r>
              <w:rPr>
                <w:rFonts w:cstheme="minorHAnsi"/>
                <w:bCs/>
              </w:rPr>
              <w:t>+</w:t>
            </w:r>
          </w:p>
        </w:tc>
      </w:tr>
      <w:tr w:rsidR="00A833E4" w:rsidRPr="000D7A58" w14:paraId="7109746E" w14:textId="77777777" w:rsidTr="00CB182F">
        <w:tc>
          <w:tcPr>
            <w:tcW w:w="1615" w:type="dxa"/>
          </w:tcPr>
          <w:p w14:paraId="136E23FE" w14:textId="77777777" w:rsidR="00A833E4" w:rsidRPr="000D7A58" w:rsidRDefault="00A833E4" w:rsidP="00AB0CEF">
            <w:r w:rsidRPr="000D7A58">
              <w:t>Almost Met</w:t>
            </w:r>
          </w:p>
        </w:tc>
        <w:tc>
          <w:tcPr>
            <w:tcW w:w="1800" w:type="dxa"/>
          </w:tcPr>
          <w:p w14:paraId="03677FA0" w14:textId="77777777" w:rsidR="00A833E4" w:rsidRPr="000D7A58" w:rsidRDefault="00A833E4" w:rsidP="006F0FD0">
            <w:pPr>
              <w:jc w:val="center"/>
            </w:pPr>
            <w:r>
              <w:t>21 – 23%</w:t>
            </w:r>
          </w:p>
        </w:tc>
        <w:tc>
          <w:tcPr>
            <w:tcW w:w="2070" w:type="dxa"/>
          </w:tcPr>
          <w:p w14:paraId="3497C104" w14:textId="43689AFE" w:rsidR="00A833E4" w:rsidRPr="000D7A58" w:rsidRDefault="00A833E4" w:rsidP="006F0FD0">
            <w:pPr>
              <w:jc w:val="center"/>
            </w:pPr>
            <w:r>
              <w:t>22 – 24%</w:t>
            </w:r>
          </w:p>
        </w:tc>
        <w:tc>
          <w:tcPr>
            <w:tcW w:w="1895" w:type="dxa"/>
          </w:tcPr>
          <w:p w14:paraId="3CD49084" w14:textId="35257EB6" w:rsidR="00A833E4" w:rsidRPr="000D7A58" w:rsidRDefault="00A833E4" w:rsidP="006F0FD0">
            <w:pPr>
              <w:jc w:val="center"/>
            </w:pPr>
            <w:r>
              <w:t>23 – 25%</w:t>
            </w:r>
          </w:p>
        </w:tc>
        <w:tc>
          <w:tcPr>
            <w:tcW w:w="1970" w:type="dxa"/>
          </w:tcPr>
          <w:p w14:paraId="41B8FE88" w14:textId="4E7D9A58" w:rsidR="00A833E4" w:rsidRPr="000D7A58" w:rsidRDefault="00A833E4" w:rsidP="006F0FD0">
            <w:pPr>
              <w:jc w:val="center"/>
              <w:rPr>
                <w:rFonts w:cstheme="minorHAnsi"/>
                <w:bCs/>
              </w:rPr>
            </w:pPr>
            <w:r>
              <w:rPr>
                <w:rFonts w:cstheme="minorHAnsi"/>
                <w:bCs/>
              </w:rPr>
              <w:t>24 – 26%</w:t>
            </w:r>
          </w:p>
        </w:tc>
      </w:tr>
      <w:tr w:rsidR="00A833E4" w:rsidRPr="000D7A58" w14:paraId="1843545C" w14:textId="77777777" w:rsidTr="00CB182F">
        <w:tc>
          <w:tcPr>
            <w:tcW w:w="1615" w:type="dxa"/>
          </w:tcPr>
          <w:p w14:paraId="12C495AD" w14:textId="77777777" w:rsidR="00A833E4" w:rsidRPr="000D7A58" w:rsidRDefault="00A833E4" w:rsidP="00AB0CEF">
            <w:r w:rsidRPr="000D7A58">
              <w:t>Not Met</w:t>
            </w:r>
          </w:p>
        </w:tc>
        <w:tc>
          <w:tcPr>
            <w:tcW w:w="1800" w:type="dxa"/>
          </w:tcPr>
          <w:p w14:paraId="1AAECF1D" w14:textId="77777777" w:rsidR="00A833E4" w:rsidRPr="000D7A58" w:rsidRDefault="00A833E4" w:rsidP="006F0FD0">
            <w:pPr>
              <w:jc w:val="center"/>
            </w:pPr>
            <w:r w:rsidRPr="000D7A58">
              <w:t xml:space="preserve">Below </w:t>
            </w:r>
            <w:r>
              <w:t>21</w:t>
            </w:r>
            <w:r w:rsidRPr="000D7A58">
              <w:t>%</w:t>
            </w:r>
          </w:p>
        </w:tc>
        <w:tc>
          <w:tcPr>
            <w:tcW w:w="2070" w:type="dxa"/>
          </w:tcPr>
          <w:p w14:paraId="3F4C4707" w14:textId="77777777" w:rsidR="00A833E4" w:rsidRPr="000D7A58" w:rsidRDefault="00A833E4" w:rsidP="006F0FD0">
            <w:pPr>
              <w:jc w:val="center"/>
            </w:pPr>
            <w:r w:rsidRPr="000D7A58">
              <w:t xml:space="preserve">Below </w:t>
            </w:r>
            <w:r>
              <w:t>22</w:t>
            </w:r>
            <w:r w:rsidRPr="000D7A58">
              <w:t>%</w:t>
            </w:r>
          </w:p>
        </w:tc>
        <w:tc>
          <w:tcPr>
            <w:tcW w:w="1895" w:type="dxa"/>
          </w:tcPr>
          <w:p w14:paraId="6C4DB9EC" w14:textId="77777777" w:rsidR="00A833E4" w:rsidRPr="000D7A58" w:rsidRDefault="00A833E4" w:rsidP="006F0FD0">
            <w:pPr>
              <w:jc w:val="center"/>
            </w:pPr>
            <w:r w:rsidRPr="000D7A58">
              <w:t xml:space="preserve">Below </w:t>
            </w:r>
            <w:r>
              <w:t>23</w:t>
            </w:r>
            <w:r w:rsidRPr="000D7A58">
              <w:t>%</w:t>
            </w:r>
          </w:p>
        </w:tc>
        <w:tc>
          <w:tcPr>
            <w:tcW w:w="1970" w:type="dxa"/>
          </w:tcPr>
          <w:p w14:paraId="7CE27F87" w14:textId="77777777" w:rsidR="00A833E4" w:rsidRPr="000D7A58" w:rsidRDefault="00A833E4" w:rsidP="006F0FD0">
            <w:pPr>
              <w:jc w:val="center"/>
              <w:rPr>
                <w:rFonts w:cstheme="minorHAnsi"/>
                <w:bCs/>
              </w:rPr>
            </w:pPr>
            <w:r w:rsidRPr="000D7A58">
              <w:rPr>
                <w:rFonts w:cstheme="minorHAnsi"/>
                <w:bCs/>
              </w:rPr>
              <w:t xml:space="preserve">Below </w:t>
            </w:r>
            <w:r>
              <w:rPr>
                <w:rFonts w:cstheme="minorHAnsi"/>
                <w:bCs/>
              </w:rPr>
              <w:t>24</w:t>
            </w:r>
            <w:r w:rsidRPr="000D7A58">
              <w:rPr>
                <w:rFonts w:cstheme="minorHAnsi"/>
                <w:bCs/>
              </w:rPr>
              <w:t>%</w:t>
            </w:r>
          </w:p>
        </w:tc>
      </w:tr>
    </w:tbl>
    <w:p w14:paraId="6A07F9B4" w14:textId="7F38AC67" w:rsidR="00A833E4" w:rsidRDefault="00A833E4" w:rsidP="00A833E4">
      <w:pPr>
        <w:rPr>
          <w:rFonts w:cstheme="minorHAnsi"/>
          <w:bCs/>
        </w:rPr>
      </w:pPr>
    </w:p>
    <w:p w14:paraId="3CF7D2B7" w14:textId="1A7B1FC6" w:rsidR="00517A2E" w:rsidRPr="009C742B" w:rsidRDefault="00517A2E" w:rsidP="00517A2E">
      <w:pPr>
        <w:rPr>
          <w:rFonts w:cstheme="minorHAnsi"/>
          <w:bCs/>
        </w:rPr>
      </w:pPr>
      <w:r>
        <w:rPr>
          <w:rFonts w:cstheme="minorHAnsi"/>
          <w:bCs/>
          <w:u w:val="single"/>
        </w:rPr>
        <w:t>Peer Institutions</w:t>
      </w:r>
      <w:r>
        <w:rPr>
          <w:rFonts w:cstheme="minorHAnsi"/>
          <w:bCs/>
        </w:rPr>
        <w:t xml:space="preserve">: </w:t>
      </w:r>
      <w:r w:rsidR="00CB182F">
        <w:rPr>
          <w:rFonts w:cstheme="minorHAnsi"/>
          <w:bCs/>
        </w:rPr>
        <w:t>COCC’s IPEDS peer institutions had an</w:t>
      </w:r>
      <w:r w:rsidR="00CB182F">
        <w:t xml:space="preserve"> average transfer rate of </w:t>
      </w:r>
      <w:r>
        <w:t xml:space="preserve">13%. The average </w:t>
      </w:r>
      <w:r w:rsidR="00CB182F">
        <w:t>transfer</w:t>
      </w:r>
      <w:r>
        <w:t xml:space="preserve"> rate amongst Oregon community colleges was 16%.</w:t>
      </w:r>
    </w:p>
    <w:p w14:paraId="3C3AF5E3" w14:textId="77777777" w:rsidR="00517A2E" w:rsidRDefault="00517A2E" w:rsidP="00A833E4">
      <w:pPr>
        <w:rPr>
          <w:rFonts w:cstheme="minorHAnsi"/>
          <w:bCs/>
        </w:rPr>
      </w:pPr>
    </w:p>
    <w:p w14:paraId="15E531CA" w14:textId="5735F65D" w:rsidR="00A833E4" w:rsidRDefault="00A833E4" w:rsidP="00A833E4">
      <w:pPr>
        <w:rPr>
          <w:rFonts w:cstheme="minorHAnsi"/>
          <w:bCs/>
        </w:rPr>
      </w:pPr>
      <w:r w:rsidRPr="00A833E4">
        <w:rPr>
          <w:u w:val="single"/>
        </w:rPr>
        <w:t>Progress</w:t>
      </w:r>
      <w:r>
        <w:t xml:space="preserve">: </w:t>
      </w:r>
      <w:r>
        <w:rPr>
          <w:rFonts w:cstheme="minorHAnsi"/>
          <w:bCs/>
        </w:rPr>
        <w:t>T</w:t>
      </w:r>
      <w:r w:rsidR="00A6760D">
        <w:rPr>
          <w:rFonts w:cstheme="minorHAnsi"/>
          <w:bCs/>
        </w:rPr>
        <w:t>o ensure availability of peer institution data, t</w:t>
      </w:r>
      <w:r>
        <w:rPr>
          <w:rFonts w:cstheme="minorHAnsi"/>
          <w:bCs/>
        </w:rPr>
        <w:t>he fall 2021 cohort three-year transfer rate is determined in winter 2025. With this, their transfer rate was 21%, indicating “Not Met” for this target. National research on transfer student data indicates that transfer rates have not rebounded since the pandemic and this is like</w:t>
      </w:r>
      <w:r w:rsidR="00204499">
        <w:rPr>
          <w:rFonts w:cstheme="minorHAnsi"/>
          <w:bCs/>
        </w:rPr>
        <w:t>ly</w:t>
      </w:r>
      <w:r>
        <w:rPr>
          <w:rFonts w:cstheme="minorHAnsi"/>
          <w:bCs/>
        </w:rPr>
        <w:t xml:space="preserve"> reflected in COCC’s steady progress with its retention and graduation rate data. </w:t>
      </w:r>
      <w:r w:rsidR="00D4674D">
        <w:rPr>
          <w:rFonts w:cstheme="minorHAnsi"/>
          <w:bCs/>
        </w:rPr>
        <w:t>That said, data for the fall 2022 cohort (those anticipated to transfer in fall 2025) will be available in early fall</w:t>
      </w:r>
      <w:r w:rsidR="00A6760D">
        <w:rPr>
          <w:rFonts w:cstheme="minorHAnsi"/>
          <w:bCs/>
        </w:rPr>
        <w:t>, with activities addressing this to be determined if the College has not met its target.</w:t>
      </w:r>
    </w:p>
    <w:p w14:paraId="5104EBB8" w14:textId="77777777" w:rsidR="00A833E4" w:rsidRDefault="00A833E4" w:rsidP="00A833E4">
      <w:pPr>
        <w:rPr>
          <w:rFonts w:cstheme="minorHAnsi"/>
          <w:bCs/>
        </w:rPr>
      </w:pPr>
    </w:p>
    <w:p w14:paraId="28C26DB3" w14:textId="77777777" w:rsidR="009E1826" w:rsidRPr="000D7A58" w:rsidRDefault="009E1826" w:rsidP="009E1826">
      <w:pPr>
        <w:shd w:val="clear" w:color="auto" w:fill="B4C6E7" w:themeFill="accent5" w:themeFillTint="66"/>
        <w:rPr>
          <w:rFonts w:cstheme="minorHAnsi"/>
          <w:bCs/>
        </w:rPr>
      </w:pPr>
      <w:r w:rsidRPr="000D7A58">
        <w:rPr>
          <w:rFonts w:cstheme="minorHAnsi"/>
          <w:b/>
        </w:rPr>
        <w:t>GOAL – ACCESS: COCC expands acces</w:t>
      </w:r>
      <w:r w:rsidRPr="000D7A58">
        <w:rPr>
          <w:rFonts w:cstheme="minorHAnsi"/>
          <w:b/>
          <w:shd w:val="clear" w:color="auto" w:fill="B4C6E7" w:themeFill="accent5" w:themeFillTint="66"/>
        </w:rPr>
        <w:t>s by providing students with equitable opportunities and the resources needed to achieve their goals</w:t>
      </w:r>
      <w:r w:rsidRPr="000D7A58">
        <w:rPr>
          <w:rFonts w:cstheme="minorHAnsi"/>
          <w:b/>
        </w:rPr>
        <w:t>.</w:t>
      </w:r>
    </w:p>
    <w:p w14:paraId="6E93BB79" w14:textId="45F74318" w:rsidR="009E1826" w:rsidRPr="000D7A58" w:rsidRDefault="009E1826" w:rsidP="009E1826">
      <w:pPr>
        <w:rPr>
          <w:rFonts w:cstheme="minorHAnsi"/>
          <w:b/>
        </w:rPr>
      </w:pPr>
    </w:p>
    <w:p w14:paraId="189A8E2D" w14:textId="68323136"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In-District Penetration Rate</w:t>
      </w:r>
      <w:r w:rsidRPr="000D7A58">
        <w:rPr>
          <w:rFonts w:cstheme="minorHAnsi"/>
          <w:b/>
        </w:rPr>
        <w:tab/>
        <w:t>Zak Boone, Annemarie Hamlin &amp; Alicia Moore</w:t>
      </w:r>
    </w:p>
    <w:p w14:paraId="7C4D1B87" w14:textId="77777777" w:rsidR="009E1826" w:rsidRPr="000D7A58" w:rsidRDefault="009E1826" w:rsidP="009E1826">
      <w:pPr>
        <w:rPr>
          <w:rFonts w:cstheme="minorHAnsi"/>
          <w:bCs/>
        </w:rPr>
      </w:pPr>
    </w:p>
    <w:p w14:paraId="3525F950" w14:textId="1EB44C74" w:rsidR="009E1826" w:rsidRPr="000D7A58" w:rsidRDefault="009E1826" w:rsidP="009E1826">
      <w:pPr>
        <w:rPr>
          <w:rFonts w:cstheme="minorHAnsi"/>
          <w:bCs/>
        </w:rPr>
      </w:pPr>
      <w:r w:rsidRPr="000D7A58">
        <w:rPr>
          <w:rFonts w:cstheme="minorHAnsi"/>
          <w:bCs/>
          <w:u w:val="single"/>
        </w:rPr>
        <w:t>Rationale for Indicator</w:t>
      </w:r>
      <w:r w:rsidR="00233311" w:rsidRPr="00A6760D">
        <w:rPr>
          <w:rFonts w:cstheme="minorHAnsi"/>
          <w:bCs/>
        </w:rPr>
        <w:t>:</w:t>
      </w:r>
      <w:r w:rsidR="00233311" w:rsidRPr="000D7A58">
        <w:rPr>
          <w:rFonts w:cstheme="minorHAnsi"/>
          <w:bCs/>
        </w:rPr>
        <w:t xml:space="preserve"> </w:t>
      </w:r>
      <w:r w:rsidR="00150E6C">
        <w:rPr>
          <w:rFonts w:cstheme="minorHAnsi"/>
          <w:bCs/>
        </w:rPr>
        <w:t>Core to a community colleges mission is serving those who reside within their college district boundaries. One way to measure this is to determine the percent of people who are registered in any course offered by</w:t>
      </w:r>
      <w:r w:rsidR="00A6760D">
        <w:rPr>
          <w:rFonts w:cstheme="minorHAnsi"/>
          <w:bCs/>
        </w:rPr>
        <w:t xml:space="preserve"> a</w:t>
      </w:r>
      <w:r w:rsidR="00150E6C">
        <w:rPr>
          <w:rFonts w:cstheme="minorHAnsi"/>
          <w:bCs/>
        </w:rPr>
        <w:t xml:space="preserve"> college, which is often referred to as market penetration. This measure helps colleges understand who they are serving and whether they are reaching </w:t>
      </w:r>
      <w:r w:rsidR="00A6760D">
        <w:rPr>
          <w:rFonts w:cstheme="minorHAnsi"/>
          <w:bCs/>
        </w:rPr>
        <w:t>its</w:t>
      </w:r>
      <w:r w:rsidR="00150E6C">
        <w:rPr>
          <w:rFonts w:cstheme="minorHAnsi"/>
          <w:bCs/>
        </w:rPr>
        <w:t xml:space="preserve"> desired population. This measure is also inclusive, as it represents </w:t>
      </w:r>
      <w:r w:rsidR="00A6760D">
        <w:rPr>
          <w:rFonts w:cstheme="minorHAnsi"/>
          <w:bCs/>
        </w:rPr>
        <w:t>the</w:t>
      </w:r>
      <w:r w:rsidR="00150E6C">
        <w:rPr>
          <w:rFonts w:cstheme="minorHAnsi"/>
          <w:bCs/>
        </w:rPr>
        <w:t xml:space="preserve"> breadth of all institutional offerings.</w:t>
      </w:r>
    </w:p>
    <w:p w14:paraId="0CDA41DD" w14:textId="02B19911" w:rsidR="009E1826" w:rsidRPr="000D7A58" w:rsidRDefault="009E1826" w:rsidP="009E1826">
      <w:pPr>
        <w:rPr>
          <w:rFonts w:cstheme="minorHAnsi"/>
          <w:bCs/>
          <w:u w:val="single"/>
        </w:rPr>
      </w:pPr>
    </w:p>
    <w:p w14:paraId="2C1D7FEC" w14:textId="7B5C2C87" w:rsidR="009E1826" w:rsidRPr="000D7A58" w:rsidRDefault="009E1826" w:rsidP="009E1826">
      <w:pPr>
        <w:rPr>
          <w:rFonts w:cstheme="minorHAnsi"/>
          <w:bCs/>
        </w:rPr>
      </w:pPr>
      <w:r w:rsidRPr="000D7A58">
        <w:rPr>
          <w:rFonts w:cstheme="minorHAnsi"/>
          <w:bCs/>
          <w:u w:val="single"/>
        </w:rPr>
        <w:t>Definition</w:t>
      </w:r>
      <w:r w:rsidR="00F10D46" w:rsidRPr="000D7A58">
        <w:rPr>
          <w:rFonts w:cstheme="minorHAnsi"/>
          <w:bCs/>
        </w:rPr>
        <w:t xml:space="preserve">: </w:t>
      </w:r>
      <w:r w:rsidR="00150E6C" w:rsidRPr="006A2518">
        <w:rPr>
          <w:rFonts w:cstheme="minorHAnsi"/>
          <w:bCs/>
        </w:rPr>
        <w:t>COCC’s penetration rate is defined by any individual, 15 or older, who is enrolled in any COCC credit or noncredit course. It includes Crook, Deschutes and Jefferson counties. It does not include</w:t>
      </w:r>
      <w:r w:rsidR="00150E6C" w:rsidRPr="006A2518">
        <w:t xml:space="preserve"> </w:t>
      </w:r>
      <w:r w:rsidR="00150E6C">
        <w:t>portions of COCC District that include</w:t>
      </w:r>
      <w:r w:rsidR="00150E6C" w:rsidRPr="006A2518">
        <w:rPr>
          <w:rFonts w:cstheme="minorHAnsi"/>
          <w:bCs/>
        </w:rPr>
        <w:t xml:space="preserve"> Southern Wasco and Klamath Counties due to data limitations.</w:t>
      </w:r>
    </w:p>
    <w:p w14:paraId="02C142E6" w14:textId="48D335D5" w:rsidR="009E1826" w:rsidRPr="000D7A58" w:rsidRDefault="009E1826" w:rsidP="009E1826">
      <w:pPr>
        <w:rPr>
          <w:rFonts w:cstheme="minorHAnsi"/>
          <w:bCs/>
        </w:rPr>
      </w:pPr>
    </w:p>
    <w:p w14:paraId="7CFA7C4B" w14:textId="539149DC" w:rsidR="00150E6C" w:rsidRDefault="009E1826" w:rsidP="009E1826">
      <w:pPr>
        <w:rPr>
          <w:rFonts w:cstheme="minorHAnsi"/>
          <w:bCs/>
        </w:rPr>
      </w:pPr>
      <w:r w:rsidRPr="000D7A58">
        <w:rPr>
          <w:rFonts w:cstheme="minorHAnsi"/>
          <w:bCs/>
          <w:u w:val="single"/>
        </w:rPr>
        <w:t>Targets</w:t>
      </w:r>
      <w:r w:rsidR="00176DC3" w:rsidRPr="00150E6C">
        <w:rPr>
          <w:rFonts w:cstheme="minorHAnsi"/>
          <w:bCs/>
        </w:rPr>
        <w:t>:</w:t>
      </w:r>
      <w:r w:rsidR="00176DC3" w:rsidRPr="000D7A58">
        <w:rPr>
          <w:rFonts w:cstheme="minorHAnsi"/>
          <w:bCs/>
        </w:rPr>
        <w:t xml:space="preserve"> </w:t>
      </w:r>
      <w:r w:rsidR="001A1498" w:rsidRPr="000D7A58">
        <w:rPr>
          <w:rFonts w:cstheme="minorHAnsi"/>
          <w:bCs/>
        </w:rPr>
        <w:t xml:space="preserve">During </w:t>
      </w:r>
      <w:r w:rsidR="00150E6C">
        <w:rPr>
          <w:rFonts w:cstheme="minorHAnsi"/>
          <w:bCs/>
        </w:rPr>
        <w:t xml:space="preserve">2024-25, COCC was able to refine its penetration rate data to demonstrate that during the past few years, it served an average of 5.7% of tri-county residents age 15 and older. With this new data and </w:t>
      </w:r>
      <w:r w:rsidR="00150E6C" w:rsidRPr="00150E6C">
        <w:rPr>
          <w:rFonts w:cstheme="minorHAnsi"/>
          <w:bCs/>
        </w:rPr>
        <w:t>recognizing that it would take more than 2,000 students for a full percent gain, the College adjusted its targets for years two through four of the strategic. This reflects anticipated expanded programming in Madras and Bend, as well as an overall enrollment increase.</w:t>
      </w:r>
    </w:p>
    <w:p w14:paraId="07CB708A" w14:textId="77777777" w:rsidR="00150E6C" w:rsidRPr="000D7A58" w:rsidRDefault="00150E6C" w:rsidP="009E1826">
      <w:pPr>
        <w:rPr>
          <w:rFonts w:cstheme="minorHAnsi"/>
          <w:bCs/>
        </w:rPr>
      </w:pPr>
    </w:p>
    <w:tbl>
      <w:tblPr>
        <w:tblStyle w:val="TableGrid"/>
        <w:tblW w:w="0" w:type="auto"/>
        <w:tblLook w:val="04A0" w:firstRow="1" w:lastRow="0" w:firstColumn="1" w:lastColumn="0" w:noHBand="0" w:noVBand="1"/>
      </w:tblPr>
      <w:tblGrid>
        <w:gridCol w:w="1615"/>
        <w:gridCol w:w="1800"/>
        <w:gridCol w:w="2070"/>
        <w:gridCol w:w="1895"/>
        <w:gridCol w:w="1975"/>
      </w:tblGrid>
      <w:tr w:rsidR="00150E6C" w:rsidRPr="000D7A58" w14:paraId="05BCA166" w14:textId="77777777" w:rsidTr="00AB0CEF">
        <w:tc>
          <w:tcPr>
            <w:tcW w:w="1615" w:type="dxa"/>
            <w:tcBorders>
              <w:top w:val="nil"/>
              <w:left w:val="nil"/>
              <w:bottom w:val="nil"/>
              <w:right w:val="single" w:sz="4" w:space="0" w:color="auto"/>
            </w:tcBorders>
          </w:tcPr>
          <w:p w14:paraId="53A27EC1" w14:textId="77777777" w:rsidR="00150E6C" w:rsidRPr="000D7A58" w:rsidRDefault="00150E6C" w:rsidP="00AB0CEF">
            <w:pPr>
              <w:rPr>
                <w:rFonts w:cstheme="minorHAnsi"/>
                <w:bCs/>
              </w:rPr>
            </w:pPr>
          </w:p>
        </w:tc>
        <w:tc>
          <w:tcPr>
            <w:tcW w:w="1800" w:type="dxa"/>
            <w:tcBorders>
              <w:left w:val="single" w:sz="4" w:space="0" w:color="auto"/>
              <w:bottom w:val="single" w:sz="4" w:space="0" w:color="auto"/>
            </w:tcBorders>
          </w:tcPr>
          <w:p w14:paraId="1BE592D9" w14:textId="77777777" w:rsidR="00150E6C" w:rsidRPr="000D7A58" w:rsidRDefault="00150E6C" w:rsidP="00AB0CEF">
            <w:pPr>
              <w:jc w:val="center"/>
              <w:rPr>
                <w:rFonts w:cstheme="minorHAnsi"/>
                <w:bCs/>
              </w:rPr>
            </w:pPr>
            <w:r>
              <w:rPr>
                <w:rFonts w:cstheme="minorHAnsi"/>
                <w:bCs/>
              </w:rPr>
              <w:t>Original</w:t>
            </w:r>
          </w:p>
        </w:tc>
        <w:tc>
          <w:tcPr>
            <w:tcW w:w="5935" w:type="dxa"/>
            <w:gridSpan w:val="3"/>
            <w:tcBorders>
              <w:bottom w:val="single" w:sz="4" w:space="0" w:color="auto"/>
            </w:tcBorders>
          </w:tcPr>
          <w:p w14:paraId="513F556A" w14:textId="77777777" w:rsidR="00150E6C" w:rsidRPr="000D7A58" w:rsidRDefault="00150E6C" w:rsidP="00AB0CEF">
            <w:pPr>
              <w:jc w:val="center"/>
              <w:rPr>
                <w:rFonts w:cstheme="minorHAnsi"/>
                <w:bCs/>
              </w:rPr>
            </w:pPr>
            <w:r>
              <w:rPr>
                <w:rFonts w:cstheme="minorHAnsi"/>
                <w:bCs/>
              </w:rPr>
              <w:t>Updated</w:t>
            </w:r>
          </w:p>
        </w:tc>
      </w:tr>
      <w:tr w:rsidR="00150E6C" w:rsidRPr="000D7A58" w14:paraId="7941120E" w14:textId="77777777" w:rsidTr="00AB0CEF">
        <w:tc>
          <w:tcPr>
            <w:tcW w:w="1615" w:type="dxa"/>
            <w:tcBorders>
              <w:top w:val="nil"/>
              <w:left w:val="nil"/>
              <w:bottom w:val="double" w:sz="4" w:space="0" w:color="auto"/>
              <w:right w:val="single" w:sz="4" w:space="0" w:color="auto"/>
            </w:tcBorders>
          </w:tcPr>
          <w:p w14:paraId="30886A06" w14:textId="77777777" w:rsidR="00150E6C" w:rsidRPr="000D7A58" w:rsidRDefault="00150E6C" w:rsidP="00AB0CEF">
            <w:pPr>
              <w:rPr>
                <w:rFonts w:cstheme="minorHAnsi"/>
                <w:bCs/>
              </w:rPr>
            </w:pPr>
          </w:p>
        </w:tc>
        <w:tc>
          <w:tcPr>
            <w:tcW w:w="1800" w:type="dxa"/>
            <w:tcBorders>
              <w:top w:val="single" w:sz="4" w:space="0" w:color="auto"/>
              <w:left w:val="single" w:sz="4" w:space="0" w:color="auto"/>
              <w:bottom w:val="double" w:sz="4" w:space="0" w:color="auto"/>
            </w:tcBorders>
          </w:tcPr>
          <w:p w14:paraId="7C5822D8" w14:textId="77777777" w:rsidR="00150E6C" w:rsidRPr="000D7A58" w:rsidRDefault="00150E6C" w:rsidP="00AB0CEF">
            <w:pPr>
              <w:jc w:val="center"/>
              <w:rPr>
                <w:rFonts w:cstheme="minorHAnsi"/>
                <w:bCs/>
              </w:rPr>
            </w:pPr>
            <w:r w:rsidRPr="000D7A58">
              <w:rPr>
                <w:rFonts w:cstheme="minorHAnsi"/>
                <w:bCs/>
              </w:rPr>
              <w:t>2023-24</w:t>
            </w:r>
          </w:p>
        </w:tc>
        <w:tc>
          <w:tcPr>
            <w:tcW w:w="2070" w:type="dxa"/>
            <w:tcBorders>
              <w:top w:val="single" w:sz="4" w:space="0" w:color="auto"/>
              <w:bottom w:val="double" w:sz="4" w:space="0" w:color="auto"/>
            </w:tcBorders>
          </w:tcPr>
          <w:p w14:paraId="5C3DC149" w14:textId="77777777" w:rsidR="00150E6C" w:rsidRPr="000D7A58" w:rsidRDefault="00150E6C" w:rsidP="00AB0CEF">
            <w:pPr>
              <w:jc w:val="center"/>
              <w:rPr>
                <w:rFonts w:cstheme="minorHAnsi"/>
                <w:bCs/>
              </w:rPr>
            </w:pPr>
            <w:r w:rsidRPr="000D7A58">
              <w:rPr>
                <w:rFonts w:cstheme="minorHAnsi"/>
                <w:bCs/>
              </w:rPr>
              <w:t>2024-25</w:t>
            </w:r>
          </w:p>
        </w:tc>
        <w:tc>
          <w:tcPr>
            <w:tcW w:w="1890" w:type="dxa"/>
            <w:tcBorders>
              <w:top w:val="single" w:sz="4" w:space="0" w:color="auto"/>
              <w:bottom w:val="double" w:sz="4" w:space="0" w:color="auto"/>
            </w:tcBorders>
          </w:tcPr>
          <w:p w14:paraId="482D016F" w14:textId="77777777" w:rsidR="00150E6C" w:rsidRPr="000D7A58" w:rsidRDefault="00150E6C" w:rsidP="00AB0CEF">
            <w:pPr>
              <w:jc w:val="center"/>
              <w:rPr>
                <w:rFonts w:cstheme="minorHAnsi"/>
                <w:bCs/>
              </w:rPr>
            </w:pPr>
            <w:r w:rsidRPr="000D7A58">
              <w:rPr>
                <w:rFonts w:cstheme="minorHAnsi"/>
                <w:bCs/>
              </w:rPr>
              <w:t>2025-26</w:t>
            </w:r>
          </w:p>
        </w:tc>
        <w:tc>
          <w:tcPr>
            <w:tcW w:w="1975" w:type="dxa"/>
            <w:tcBorders>
              <w:top w:val="single" w:sz="4" w:space="0" w:color="auto"/>
              <w:bottom w:val="double" w:sz="4" w:space="0" w:color="auto"/>
            </w:tcBorders>
          </w:tcPr>
          <w:p w14:paraId="019CD918" w14:textId="77777777" w:rsidR="00150E6C" w:rsidRPr="000D7A58" w:rsidRDefault="00150E6C" w:rsidP="00AB0CEF">
            <w:pPr>
              <w:jc w:val="center"/>
              <w:rPr>
                <w:rFonts w:cstheme="minorHAnsi"/>
                <w:bCs/>
              </w:rPr>
            </w:pPr>
            <w:r w:rsidRPr="000D7A58">
              <w:rPr>
                <w:rFonts w:cstheme="minorHAnsi"/>
                <w:bCs/>
              </w:rPr>
              <w:t>2026-27</w:t>
            </w:r>
          </w:p>
        </w:tc>
      </w:tr>
      <w:tr w:rsidR="00150E6C" w:rsidRPr="000D7A58" w14:paraId="53AC21A2" w14:textId="77777777" w:rsidTr="00D4674D">
        <w:trPr>
          <w:trHeight w:val="267"/>
        </w:trPr>
        <w:tc>
          <w:tcPr>
            <w:tcW w:w="1615" w:type="dxa"/>
            <w:tcBorders>
              <w:top w:val="double" w:sz="4" w:space="0" w:color="auto"/>
            </w:tcBorders>
          </w:tcPr>
          <w:p w14:paraId="5A3804C1" w14:textId="64497BE4" w:rsidR="00150E6C" w:rsidRPr="000D7A58" w:rsidRDefault="00150E6C" w:rsidP="00AB0CEF">
            <w:r w:rsidRPr="000D7A58">
              <w:t>Met</w:t>
            </w:r>
          </w:p>
        </w:tc>
        <w:tc>
          <w:tcPr>
            <w:tcW w:w="1800" w:type="dxa"/>
            <w:tcBorders>
              <w:top w:val="double" w:sz="4" w:space="0" w:color="auto"/>
            </w:tcBorders>
          </w:tcPr>
          <w:p w14:paraId="321B54B4" w14:textId="50DE2F6D" w:rsidR="00150E6C" w:rsidRPr="000D7A58" w:rsidRDefault="00150E6C" w:rsidP="006F0FD0">
            <w:pPr>
              <w:jc w:val="center"/>
            </w:pPr>
            <w:r>
              <w:t>5.5%</w:t>
            </w:r>
          </w:p>
        </w:tc>
        <w:tc>
          <w:tcPr>
            <w:tcW w:w="2070" w:type="dxa"/>
            <w:tcBorders>
              <w:top w:val="double" w:sz="4" w:space="0" w:color="auto"/>
            </w:tcBorders>
          </w:tcPr>
          <w:p w14:paraId="5D8D4924" w14:textId="231C4F6C" w:rsidR="00150E6C" w:rsidRPr="000D7A58" w:rsidRDefault="00150E6C" w:rsidP="006F0FD0">
            <w:pPr>
              <w:jc w:val="center"/>
            </w:pPr>
            <w:r>
              <w:t>5.8%</w:t>
            </w:r>
          </w:p>
        </w:tc>
        <w:tc>
          <w:tcPr>
            <w:tcW w:w="1895" w:type="dxa"/>
            <w:tcBorders>
              <w:top w:val="double" w:sz="4" w:space="0" w:color="auto"/>
            </w:tcBorders>
          </w:tcPr>
          <w:p w14:paraId="103BDC6C" w14:textId="6A37C24F" w:rsidR="00150E6C" w:rsidRPr="000D7A58" w:rsidRDefault="00150E6C" w:rsidP="006F0FD0">
            <w:pPr>
              <w:jc w:val="center"/>
            </w:pPr>
            <w:r>
              <w:t>5.9%</w:t>
            </w:r>
          </w:p>
        </w:tc>
        <w:tc>
          <w:tcPr>
            <w:tcW w:w="1970" w:type="dxa"/>
            <w:tcBorders>
              <w:top w:val="double" w:sz="4" w:space="0" w:color="auto"/>
            </w:tcBorders>
          </w:tcPr>
          <w:p w14:paraId="6383D5C0" w14:textId="3FA3A25D" w:rsidR="00150E6C" w:rsidRPr="000D7A58" w:rsidRDefault="00150E6C" w:rsidP="006F0FD0">
            <w:pPr>
              <w:jc w:val="center"/>
              <w:rPr>
                <w:rFonts w:cstheme="minorHAnsi"/>
                <w:bCs/>
              </w:rPr>
            </w:pPr>
            <w:r>
              <w:rPr>
                <w:rFonts w:cstheme="minorHAnsi"/>
                <w:bCs/>
              </w:rPr>
              <w:t>6.0%</w:t>
            </w:r>
          </w:p>
        </w:tc>
      </w:tr>
      <w:tr w:rsidR="00150E6C" w:rsidRPr="000D7A58" w14:paraId="414BCB1C" w14:textId="77777777" w:rsidTr="00150E6C">
        <w:tc>
          <w:tcPr>
            <w:tcW w:w="1615" w:type="dxa"/>
          </w:tcPr>
          <w:p w14:paraId="0D93197F" w14:textId="77777777" w:rsidR="00150E6C" w:rsidRPr="000D7A58" w:rsidRDefault="00150E6C" w:rsidP="00AB0CEF">
            <w:r w:rsidRPr="000D7A58">
              <w:t>Almost Met</w:t>
            </w:r>
          </w:p>
        </w:tc>
        <w:tc>
          <w:tcPr>
            <w:tcW w:w="1800" w:type="dxa"/>
          </w:tcPr>
          <w:p w14:paraId="5F45E837" w14:textId="5A119B2A" w:rsidR="00150E6C" w:rsidRPr="000D7A58" w:rsidRDefault="00150E6C" w:rsidP="006F0FD0">
            <w:pPr>
              <w:jc w:val="center"/>
            </w:pPr>
            <w:r>
              <w:t>5 – 5.4%</w:t>
            </w:r>
          </w:p>
        </w:tc>
        <w:tc>
          <w:tcPr>
            <w:tcW w:w="2070" w:type="dxa"/>
          </w:tcPr>
          <w:p w14:paraId="17EA5FF9" w14:textId="75DBEAB2" w:rsidR="00150E6C" w:rsidRPr="000D7A58" w:rsidRDefault="00150E6C" w:rsidP="006F0FD0">
            <w:pPr>
              <w:jc w:val="center"/>
            </w:pPr>
            <w:r>
              <w:t>5.4 – 5.7%</w:t>
            </w:r>
          </w:p>
        </w:tc>
        <w:tc>
          <w:tcPr>
            <w:tcW w:w="1895" w:type="dxa"/>
          </w:tcPr>
          <w:p w14:paraId="15708CB5" w14:textId="18B5C1ED" w:rsidR="00150E6C" w:rsidRPr="000D7A58" w:rsidRDefault="00150E6C" w:rsidP="006F0FD0">
            <w:pPr>
              <w:jc w:val="center"/>
            </w:pPr>
            <w:r>
              <w:t>5.5 – 5.8%</w:t>
            </w:r>
          </w:p>
        </w:tc>
        <w:tc>
          <w:tcPr>
            <w:tcW w:w="1970" w:type="dxa"/>
          </w:tcPr>
          <w:p w14:paraId="19D2A68A" w14:textId="644F1908" w:rsidR="00150E6C" w:rsidRPr="000D7A58" w:rsidRDefault="00150E6C" w:rsidP="006F0FD0">
            <w:pPr>
              <w:jc w:val="center"/>
              <w:rPr>
                <w:rFonts w:cstheme="minorHAnsi"/>
                <w:bCs/>
              </w:rPr>
            </w:pPr>
            <w:r>
              <w:rPr>
                <w:rFonts w:cstheme="minorHAnsi"/>
                <w:bCs/>
              </w:rPr>
              <w:t>5.6 – 5.9%</w:t>
            </w:r>
          </w:p>
        </w:tc>
      </w:tr>
      <w:tr w:rsidR="00150E6C" w:rsidRPr="000D7A58" w14:paraId="09B1672B" w14:textId="77777777" w:rsidTr="00150E6C">
        <w:tc>
          <w:tcPr>
            <w:tcW w:w="1615" w:type="dxa"/>
          </w:tcPr>
          <w:p w14:paraId="13BBB5E2" w14:textId="77777777" w:rsidR="00150E6C" w:rsidRPr="000D7A58" w:rsidRDefault="00150E6C" w:rsidP="00AB0CEF">
            <w:r w:rsidRPr="000D7A58">
              <w:t>Not Met</w:t>
            </w:r>
          </w:p>
        </w:tc>
        <w:tc>
          <w:tcPr>
            <w:tcW w:w="1800" w:type="dxa"/>
          </w:tcPr>
          <w:p w14:paraId="233D683C" w14:textId="20496403" w:rsidR="00150E6C" w:rsidRPr="000D7A58" w:rsidRDefault="00150E6C" w:rsidP="006F0FD0">
            <w:pPr>
              <w:jc w:val="center"/>
            </w:pPr>
            <w:r>
              <w:t>Below 5.0%</w:t>
            </w:r>
          </w:p>
        </w:tc>
        <w:tc>
          <w:tcPr>
            <w:tcW w:w="2070" w:type="dxa"/>
          </w:tcPr>
          <w:p w14:paraId="05D48411" w14:textId="509907AE" w:rsidR="00150E6C" w:rsidRPr="000D7A58" w:rsidRDefault="00150E6C" w:rsidP="006F0FD0">
            <w:pPr>
              <w:jc w:val="center"/>
            </w:pPr>
            <w:r>
              <w:t>Below 5.4%</w:t>
            </w:r>
          </w:p>
        </w:tc>
        <w:tc>
          <w:tcPr>
            <w:tcW w:w="1895" w:type="dxa"/>
          </w:tcPr>
          <w:p w14:paraId="44DB317B" w14:textId="5C0C8DA5" w:rsidR="00150E6C" w:rsidRPr="000D7A58" w:rsidRDefault="00150E6C" w:rsidP="006F0FD0">
            <w:pPr>
              <w:jc w:val="center"/>
            </w:pPr>
            <w:r>
              <w:t>Below 5.5%</w:t>
            </w:r>
          </w:p>
        </w:tc>
        <w:tc>
          <w:tcPr>
            <w:tcW w:w="1970" w:type="dxa"/>
          </w:tcPr>
          <w:p w14:paraId="28060318" w14:textId="5888489D" w:rsidR="00150E6C" w:rsidRPr="000D7A58" w:rsidRDefault="00150E6C" w:rsidP="006F0FD0">
            <w:pPr>
              <w:jc w:val="center"/>
              <w:rPr>
                <w:rFonts w:cstheme="minorHAnsi"/>
                <w:bCs/>
              </w:rPr>
            </w:pPr>
            <w:r>
              <w:rPr>
                <w:rFonts w:cstheme="minorHAnsi"/>
                <w:bCs/>
              </w:rPr>
              <w:t>Below 5.6%</w:t>
            </w:r>
          </w:p>
        </w:tc>
      </w:tr>
    </w:tbl>
    <w:p w14:paraId="15D898A4" w14:textId="7F568307" w:rsidR="001A1498" w:rsidRDefault="001A1498" w:rsidP="009E1826">
      <w:pPr>
        <w:rPr>
          <w:rFonts w:cstheme="minorHAnsi"/>
          <w:bCs/>
        </w:rPr>
      </w:pPr>
    </w:p>
    <w:p w14:paraId="34ED9523" w14:textId="639DEDCE" w:rsidR="00150E6C" w:rsidRDefault="00150E6C" w:rsidP="009E1826">
      <w:pPr>
        <w:rPr>
          <w:rFonts w:cstheme="minorHAnsi"/>
          <w:bCs/>
        </w:rPr>
      </w:pPr>
      <w:r>
        <w:rPr>
          <w:rFonts w:cstheme="minorHAnsi"/>
          <w:bCs/>
          <w:u w:val="single"/>
        </w:rPr>
        <w:t>Peer Institution Data</w:t>
      </w:r>
      <w:r>
        <w:rPr>
          <w:rFonts w:cstheme="minorHAnsi"/>
          <w:bCs/>
        </w:rPr>
        <w:t>: IPEDS does not track this data, nor do other Oregon community colleges. Therefore, peer institution data is not available at this time.</w:t>
      </w:r>
    </w:p>
    <w:p w14:paraId="3CB8DD70" w14:textId="1B13F738" w:rsidR="00150E6C" w:rsidRDefault="00150E6C" w:rsidP="009E1826">
      <w:pPr>
        <w:rPr>
          <w:rFonts w:cstheme="minorHAnsi"/>
          <w:bCs/>
        </w:rPr>
      </w:pPr>
    </w:p>
    <w:p w14:paraId="67FFD78A" w14:textId="1F73BF1F" w:rsidR="00150E6C" w:rsidRPr="00150E6C" w:rsidRDefault="00150E6C" w:rsidP="009E1826">
      <w:pPr>
        <w:rPr>
          <w:rFonts w:cstheme="minorHAnsi"/>
          <w:bCs/>
        </w:rPr>
      </w:pPr>
      <w:r>
        <w:rPr>
          <w:rFonts w:cstheme="minorHAnsi"/>
          <w:bCs/>
          <w:u w:val="single"/>
        </w:rPr>
        <w:t>Progress</w:t>
      </w:r>
      <w:r>
        <w:rPr>
          <w:rFonts w:cstheme="minorHAnsi"/>
          <w:bCs/>
        </w:rPr>
        <w:t xml:space="preserve">: The 2023 – 24 academic </w:t>
      </w:r>
      <w:proofErr w:type="gramStart"/>
      <w:r>
        <w:rPr>
          <w:rFonts w:cstheme="minorHAnsi"/>
          <w:bCs/>
        </w:rPr>
        <w:t>year</w:t>
      </w:r>
      <w:proofErr w:type="gramEnd"/>
      <w:r>
        <w:rPr>
          <w:rFonts w:cstheme="minorHAnsi"/>
          <w:bCs/>
        </w:rPr>
        <w:t xml:space="preserve"> saw an in-district penetration rate of 5.8%, far exceeding its initial goal. This difference is likely due to a combination of more accurate data since the initial target was set, as well as an increase in COCC’s overall enrollment. 2024 – 25 academic year data will be available in </w:t>
      </w:r>
      <w:r w:rsidR="00A6760D">
        <w:rPr>
          <w:rFonts w:cstheme="minorHAnsi"/>
          <w:bCs/>
        </w:rPr>
        <w:t>summer</w:t>
      </w:r>
      <w:r>
        <w:rPr>
          <w:rFonts w:cstheme="minorHAnsi"/>
          <w:bCs/>
        </w:rPr>
        <w:t xml:space="preserve"> 2025.</w:t>
      </w:r>
    </w:p>
    <w:p w14:paraId="62F3462F" w14:textId="77777777" w:rsidR="00ED091B" w:rsidRPr="000D7A58" w:rsidRDefault="00ED091B" w:rsidP="00ED091B">
      <w:pPr>
        <w:rPr>
          <w:rFonts w:cstheme="minorHAnsi"/>
          <w:bCs/>
        </w:rPr>
      </w:pPr>
    </w:p>
    <w:p w14:paraId="4FF9256F" w14:textId="0308E808"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In-District Tuition &amp; Fees</w:t>
      </w:r>
      <w:r w:rsidRPr="000D7A58">
        <w:rPr>
          <w:rFonts w:cstheme="minorHAnsi"/>
          <w:b/>
        </w:rPr>
        <w:tab/>
        <w:t>Michael LaLonde</w:t>
      </w:r>
    </w:p>
    <w:p w14:paraId="241DF99A" w14:textId="77777777" w:rsidR="009E1826" w:rsidRPr="000D7A58" w:rsidRDefault="009E1826" w:rsidP="009E1826">
      <w:pPr>
        <w:rPr>
          <w:rFonts w:cstheme="minorHAnsi"/>
          <w:bCs/>
        </w:rPr>
      </w:pPr>
    </w:p>
    <w:p w14:paraId="0CCE5BA8" w14:textId="0426987D" w:rsidR="00E84EA1" w:rsidRPr="000D7A58" w:rsidRDefault="009E1826" w:rsidP="00E84EA1">
      <w:pPr>
        <w:rPr>
          <w:u w:val="single"/>
        </w:rPr>
      </w:pPr>
      <w:r w:rsidRPr="000D7A58">
        <w:rPr>
          <w:rFonts w:cstheme="minorHAnsi"/>
          <w:bCs/>
          <w:u w:val="single"/>
        </w:rPr>
        <w:t>Rationale for Indicator</w:t>
      </w:r>
      <w:r w:rsidR="00E84EA1" w:rsidRPr="000D7A58">
        <w:rPr>
          <w:rFonts w:cstheme="minorHAnsi"/>
          <w:bCs/>
        </w:rPr>
        <w:t xml:space="preserve">: </w:t>
      </w:r>
      <w:r w:rsidR="0034582B">
        <w:rPr>
          <w:rFonts w:cstheme="minorHAnsi"/>
          <w:bCs/>
        </w:rPr>
        <w:t>A p</w:t>
      </w:r>
      <w:r w:rsidR="0034582B" w:rsidRPr="000D7A58">
        <w:t xml:space="preserve">rimary </w:t>
      </w:r>
      <w:r w:rsidR="0034582B">
        <w:t xml:space="preserve">aspect to </w:t>
      </w:r>
      <w:r w:rsidR="0034582B" w:rsidRPr="000D7A58">
        <w:t xml:space="preserve">any community college’s </w:t>
      </w:r>
      <w:r w:rsidR="0034582B">
        <w:t>mission is</w:t>
      </w:r>
      <w:r w:rsidR="0034582B" w:rsidRPr="000D7A58">
        <w:t xml:space="preserve"> to serve its local service area</w:t>
      </w:r>
      <w:r w:rsidR="0034582B">
        <w:t>, ensuring affordability for that population</w:t>
      </w:r>
      <w:r w:rsidR="0034582B" w:rsidRPr="000D7A58">
        <w:t xml:space="preserve">. </w:t>
      </w:r>
      <w:r w:rsidR="0034582B">
        <w:t>Upholding</w:t>
      </w:r>
      <w:r w:rsidR="0034582B" w:rsidRPr="000D7A58">
        <w:t xml:space="preserve"> an affordable in-district tuition rate, while maintaining quality programs and services, ensures that COCC can best serve students throughout our district and support them in reaching their goals. Moreover, affordability also supports COCC’s commitment to expanding access for in-district residents.</w:t>
      </w:r>
    </w:p>
    <w:p w14:paraId="2CFD6077" w14:textId="639EFEF1" w:rsidR="009E1826" w:rsidRPr="000D7A58" w:rsidRDefault="009E1826" w:rsidP="009E1826">
      <w:pPr>
        <w:rPr>
          <w:rFonts w:cstheme="minorHAnsi"/>
          <w:bCs/>
        </w:rPr>
      </w:pPr>
    </w:p>
    <w:p w14:paraId="0125AF15" w14:textId="5D82BDBD" w:rsidR="009E1826" w:rsidRPr="000D7A58" w:rsidRDefault="009E1826" w:rsidP="009E1826">
      <w:pPr>
        <w:rPr>
          <w:rFonts w:cstheme="minorHAnsi"/>
          <w:bCs/>
        </w:rPr>
      </w:pPr>
      <w:r w:rsidRPr="000D7A58">
        <w:rPr>
          <w:rFonts w:cstheme="minorHAnsi"/>
          <w:bCs/>
          <w:u w:val="single"/>
        </w:rPr>
        <w:t>Definition</w:t>
      </w:r>
      <w:r w:rsidR="00E84EA1" w:rsidRPr="000D7A58">
        <w:rPr>
          <w:rFonts w:cstheme="minorHAnsi"/>
          <w:bCs/>
        </w:rPr>
        <w:t>:</w:t>
      </w:r>
      <w:r w:rsidR="00FC7471" w:rsidRPr="000D7A58">
        <w:rPr>
          <w:rFonts w:cstheme="minorHAnsi"/>
          <w:bCs/>
        </w:rPr>
        <w:t xml:space="preserve"> </w:t>
      </w:r>
      <w:r w:rsidR="0034582B" w:rsidRPr="000D7A58">
        <w:rPr>
          <w:rFonts w:cstheme="minorHAnsi"/>
          <w:bCs/>
        </w:rPr>
        <w:t>This indicator is measured based on</w:t>
      </w:r>
      <w:r w:rsidR="0034582B">
        <w:rPr>
          <w:rFonts w:cstheme="minorHAnsi"/>
          <w:bCs/>
        </w:rPr>
        <w:t xml:space="preserve"> data from the Oregon Business Officers</w:t>
      </w:r>
      <w:r w:rsidR="0034582B" w:rsidRPr="000D7A58">
        <w:rPr>
          <w:rFonts w:cstheme="minorHAnsi"/>
          <w:bCs/>
        </w:rPr>
        <w:t xml:space="preserve"> that shares the tuition and fees </w:t>
      </w:r>
      <w:r w:rsidR="0034582B">
        <w:rPr>
          <w:rFonts w:cstheme="minorHAnsi"/>
          <w:bCs/>
        </w:rPr>
        <w:t>for</w:t>
      </w:r>
      <w:r w:rsidR="0034582B" w:rsidRPr="000D7A58">
        <w:rPr>
          <w:rFonts w:cstheme="minorHAnsi"/>
          <w:bCs/>
        </w:rPr>
        <w:t xml:space="preserve"> all Oregon community colleges. Only fees that are universally applied to all students are included.</w:t>
      </w:r>
    </w:p>
    <w:p w14:paraId="1DBA7B3E" w14:textId="77777777" w:rsidR="009E1826" w:rsidRPr="000D7A58" w:rsidRDefault="009E1826" w:rsidP="009E1826">
      <w:pPr>
        <w:rPr>
          <w:rFonts w:cstheme="minorHAnsi"/>
          <w:bCs/>
        </w:rPr>
      </w:pPr>
    </w:p>
    <w:p w14:paraId="2363F884" w14:textId="059B5D88" w:rsidR="00E84EA1" w:rsidRDefault="009E1826" w:rsidP="00E84EA1">
      <w:r w:rsidRPr="000D7A58">
        <w:rPr>
          <w:rFonts w:cstheme="minorHAnsi"/>
          <w:bCs/>
          <w:u w:val="single"/>
        </w:rPr>
        <w:t>Targets</w:t>
      </w:r>
      <w:r w:rsidR="00E84EA1" w:rsidRPr="000D7A58">
        <w:rPr>
          <w:rFonts w:cstheme="minorHAnsi"/>
          <w:bCs/>
        </w:rPr>
        <w:t xml:space="preserve">: </w:t>
      </w:r>
      <w:r w:rsidR="00E84EA1" w:rsidRPr="000D7A58">
        <w:t xml:space="preserve">COCC will be in the bottom quarter of in-district tuition and fees compared to all other Oregon community colleges. </w:t>
      </w:r>
    </w:p>
    <w:p w14:paraId="3C15961B" w14:textId="232C5D81" w:rsidR="0034582B" w:rsidRDefault="0034582B" w:rsidP="00E84EA1"/>
    <w:p w14:paraId="780BF394" w14:textId="40F2A36C" w:rsidR="0034582B" w:rsidRDefault="0034582B" w:rsidP="00E84EA1">
      <w:r>
        <w:rPr>
          <w:u w:val="single"/>
        </w:rPr>
        <w:t>Peer Institution Data</w:t>
      </w:r>
      <w:r>
        <w:t>: COCC’s peer institutions are all Oregon community colleges.</w:t>
      </w:r>
    </w:p>
    <w:p w14:paraId="37743ECD" w14:textId="019A0CC7" w:rsidR="0034582B" w:rsidRDefault="0034582B" w:rsidP="00E84EA1"/>
    <w:p w14:paraId="0DE8DAA7" w14:textId="250E7CB1" w:rsidR="0034582B" w:rsidRPr="0034582B" w:rsidRDefault="0034582B" w:rsidP="00E84EA1">
      <w:r>
        <w:rPr>
          <w:u w:val="single"/>
        </w:rPr>
        <w:t>Progress</w:t>
      </w:r>
      <w:r>
        <w:t xml:space="preserve">: </w:t>
      </w:r>
      <w:r w:rsidR="006F0FD0" w:rsidRPr="006F0FD0">
        <w:t xml:space="preserve">COCC was </w:t>
      </w:r>
      <w:r w:rsidRPr="006F0FD0">
        <w:t xml:space="preserve">the </w:t>
      </w:r>
      <w:r w:rsidR="00D04B7D">
        <w:t>third</w:t>
      </w:r>
      <w:r w:rsidR="00DC7299">
        <w:t xml:space="preserve"> </w:t>
      </w:r>
      <w:r w:rsidRPr="006F0FD0">
        <w:t>most affordable Oregon community college</w:t>
      </w:r>
      <w:r w:rsidR="00D4674D">
        <w:t xml:space="preserve"> in 2024-25</w:t>
      </w:r>
      <w:r w:rsidRPr="006F0FD0">
        <w:t>, placing it in line with this target.</w:t>
      </w:r>
    </w:p>
    <w:p w14:paraId="01A0ACE1" w14:textId="0C14D3BC" w:rsidR="00E84EA1" w:rsidRPr="000D7A58" w:rsidRDefault="00E84EA1" w:rsidP="00E84EA1"/>
    <w:p w14:paraId="2C04D8C3" w14:textId="595FA283"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Underrepresented Students</w:t>
      </w:r>
      <w:r w:rsidRPr="000D7A58">
        <w:rPr>
          <w:rFonts w:cstheme="minorHAnsi"/>
          <w:b/>
        </w:rPr>
        <w:tab/>
        <w:t>Annemarie Hamlin &amp; Alicia Moore</w:t>
      </w:r>
    </w:p>
    <w:p w14:paraId="50FC6D28" w14:textId="77777777" w:rsidR="009E1826" w:rsidRPr="000D7A58" w:rsidRDefault="009E1826" w:rsidP="009E1826">
      <w:pPr>
        <w:rPr>
          <w:rFonts w:cstheme="minorHAnsi"/>
          <w:bCs/>
        </w:rPr>
      </w:pPr>
    </w:p>
    <w:p w14:paraId="03F2EC93" w14:textId="278B749A" w:rsidR="009E1826" w:rsidRDefault="009E1826" w:rsidP="009E1826">
      <w:pPr>
        <w:rPr>
          <w:rFonts w:cstheme="minorHAnsi"/>
          <w:bCs/>
        </w:rPr>
      </w:pPr>
      <w:r w:rsidRPr="00D843A3">
        <w:rPr>
          <w:rFonts w:cstheme="minorHAnsi"/>
          <w:bCs/>
          <w:u w:val="single"/>
        </w:rPr>
        <w:t>Rationale for Indicator</w:t>
      </w:r>
      <w:r w:rsidR="00EE0578" w:rsidRPr="00D843A3">
        <w:rPr>
          <w:rFonts w:cstheme="minorHAnsi"/>
          <w:bCs/>
        </w:rPr>
        <w:t xml:space="preserve">: </w:t>
      </w:r>
      <w:r w:rsidR="00D843A3" w:rsidRPr="00D843A3">
        <w:rPr>
          <w:rFonts w:cstheme="minorHAnsi"/>
          <w:bCs/>
        </w:rPr>
        <w:t>The Higher Education Coordinating Commission identified four student populations as priority populations as part of its new Oregon community college funding model: Low-income, adult learners, students of color, and career and technical education students. National research indicates that these populations are traditionally underserved in higher education.</w:t>
      </w:r>
    </w:p>
    <w:p w14:paraId="2C0509B2" w14:textId="77777777" w:rsidR="00D843A3" w:rsidRPr="000D7A58" w:rsidRDefault="00D843A3" w:rsidP="009E1826">
      <w:pPr>
        <w:rPr>
          <w:rFonts w:cstheme="minorHAnsi"/>
          <w:bCs/>
          <w:u w:val="single"/>
        </w:rPr>
      </w:pPr>
    </w:p>
    <w:p w14:paraId="5EFE1115" w14:textId="524F3FC4" w:rsidR="00EE0578" w:rsidRPr="000D7A58" w:rsidRDefault="009E1826" w:rsidP="00EE0578">
      <w:pPr>
        <w:rPr>
          <w:rFonts w:cstheme="minorHAnsi"/>
        </w:rPr>
      </w:pPr>
      <w:r w:rsidRPr="000D7A58">
        <w:rPr>
          <w:rFonts w:cstheme="minorHAnsi"/>
          <w:bCs/>
          <w:u w:val="single"/>
        </w:rPr>
        <w:t>Definition</w:t>
      </w:r>
      <w:r w:rsidR="00EE0578" w:rsidRPr="000D7A58">
        <w:rPr>
          <w:rFonts w:cstheme="minorHAnsi"/>
          <w:bCs/>
          <w:u w:val="single"/>
        </w:rPr>
        <w:t>:</w:t>
      </w:r>
      <w:r w:rsidR="00EE0578" w:rsidRPr="000D7A58">
        <w:rPr>
          <w:rFonts w:cstheme="minorHAnsi"/>
          <w:bCs/>
        </w:rPr>
        <w:t xml:space="preserve">  </w:t>
      </w:r>
      <w:r w:rsidR="00EE0578" w:rsidRPr="000D7A58">
        <w:rPr>
          <w:rFonts w:cstheme="minorHAnsi"/>
        </w:rPr>
        <w:t>Students who were enrolled in reimbursable courses</w:t>
      </w:r>
      <w:r w:rsidR="000F5E45">
        <w:rPr>
          <w:rFonts w:cstheme="minorHAnsi"/>
        </w:rPr>
        <w:t xml:space="preserve">, credit </w:t>
      </w:r>
      <w:r w:rsidR="000F5E45">
        <w:rPr>
          <w:rFonts w:cstheme="minorHAnsi"/>
          <w:i/>
          <w:iCs/>
        </w:rPr>
        <w:t>and</w:t>
      </w:r>
      <w:r w:rsidR="000F5E45">
        <w:rPr>
          <w:rFonts w:cstheme="minorHAnsi"/>
        </w:rPr>
        <w:t xml:space="preserve"> noncredit,</w:t>
      </w:r>
      <w:r w:rsidR="00EE0578" w:rsidRPr="000D7A58">
        <w:rPr>
          <w:rFonts w:cstheme="minorHAnsi"/>
        </w:rPr>
        <w:t xml:space="preserve"> from the prioritized populations:</w:t>
      </w:r>
    </w:p>
    <w:p w14:paraId="6FC7AC88" w14:textId="77777777" w:rsidR="00EE0578" w:rsidRPr="000D7A58" w:rsidRDefault="00EE0578" w:rsidP="00EE0578">
      <w:pPr>
        <w:rPr>
          <w:rFonts w:cstheme="minorHAnsi"/>
        </w:rPr>
      </w:pPr>
    </w:p>
    <w:p w14:paraId="4BBB16A5" w14:textId="77777777" w:rsidR="00842CD2" w:rsidRPr="000D7A58" w:rsidRDefault="00842CD2" w:rsidP="00842CD2">
      <w:pPr>
        <w:pStyle w:val="ListParagraph"/>
        <w:numPr>
          <w:ilvl w:val="0"/>
          <w:numId w:val="24"/>
        </w:numPr>
        <w:rPr>
          <w:rFonts w:cstheme="minorHAnsi"/>
          <w:b/>
          <w:bCs/>
        </w:rPr>
      </w:pPr>
      <w:r w:rsidRPr="000D7A58">
        <w:rPr>
          <w:rFonts w:cstheme="minorHAnsi"/>
        </w:rPr>
        <w:t xml:space="preserve">Recipients of Pell or </w:t>
      </w:r>
      <w:r>
        <w:rPr>
          <w:rFonts w:cstheme="minorHAnsi"/>
        </w:rPr>
        <w:t>Oregon Opportunity Grant</w:t>
      </w:r>
      <w:r w:rsidRPr="000D7A58">
        <w:rPr>
          <w:rFonts w:cstheme="minorHAnsi"/>
        </w:rPr>
        <w:t xml:space="preserve"> (credit students only, as identified through institutional systems)</w:t>
      </w:r>
    </w:p>
    <w:p w14:paraId="53E22DBE" w14:textId="7A5BEA81" w:rsidR="00EE0578" w:rsidRPr="000D7A58" w:rsidRDefault="00842CD2" w:rsidP="00EE0578">
      <w:pPr>
        <w:pStyle w:val="ListParagraph"/>
        <w:numPr>
          <w:ilvl w:val="0"/>
          <w:numId w:val="24"/>
        </w:numPr>
        <w:rPr>
          <w:rFonts w:cstheme="minorHAnsi"/>
        </w:rPr>
      </w:pPr>
      <w:r>
        <w:rPr>
          <w:rFonts w:cstheme="minorHAnsi"/>
        </w:rPr>
        <w:t>Student of Color (</w:t>
      </w:r>
      <w:r w:rsidR="00EE0578" w:rsidRPr="000D7A58">
        <w:rPr>
          <w:rFonts w:cstheme="minorHAnsi"/>
        </w:rPr>
        <w:t xml:space="preserve">credit and noncredit, </w:t>
      </w:r>
      <w:r w:rsidR="00AA1D4A" w:rsidRPr="000D7A58">
        <w:rPr>
          <w:rFonts w:cstheme="minorHAnsi"/>
        </w:rPr>
        <w:t>if</w:t>
      </w:r>
      <w:r w:rsidR="00EE0578" w:rsidRPr="000D7A58">
        <w:rPr>
          <w:rFonts w:cstheme="minorHAnsi"/>
        </w:rPr>
        <w:t xml:space="preserve"> </w:t>
      </w:r>
      <w:r w:rsidR="00AA1D4A" w:rsidRPr="000D7A58">
        <w:rPr>
          <w:rFonts w:cstheme="minorHAnsi"/>
        </w:rPr>
        <w:t>identified</w:t>
      </w:r>
      <w:r w:rsidR="00EE0578" w:rsidRPr="000D7A58">
        <w:rPr>
          <w:rFonts w:cstheme="minorHAnsi"/>
        </w:rPr>
        <w:t xml:space="preserve"> on enrollment forms)</w:t>
      </w:r>
    </w:p>
    <w:p w14:paraId="4F00D3A0" w14:textId="77777777" w:rsidR="00842CD2" w:rsidRPr="00842CD2" w:rsidRDefault="00842CD2" w:rsidP="00EE0578">
      <w:pPr>
        <w:pStyle w:val="ListParagraph"/>
        <w:numPr>
          <w:ilvl w:val="0"/>
          <w:numId w:val="24"/>
        </w:numPr>
        <w:rPr>
          <w:rFonts w:cstheme="minorHAnsi"/>
          <w:b/>
          <w:bCs/>
        </w:rPr>
      </w:pPr>
      <w:r w:rsidRPr="000D7A58">
        <w:rPr>
          <w:rFonts w:cstheme="minorHAnsi"/>
        </w:rPr>
        <w:t>Students enrolled in career and technical education courses (credit and noncredit, as identified through institutional systems)</w:t>
      </w:r>
    </w:p>
    <w:p w14:paraId="2701A712" w14:textId="6B26EA8B" w:rsidR="00EE0578" w:rsidRPr="000D7A58" w:rsidRDefault="00EE0578" w:rsidP="00EE0578">
      <w:pPr>
        <w:pStyle w:val="ListParagraph"/>
        <w:numPr>
          <w:ilvl w:val="0"/>
          <w:numId w:val="24"/>
        </w:numPr>
        <w:rPr>
          <w:rFonts w:cstheme="minorHAnsi"/>
          <w:b/>
          <w:bCs/>
        </w:rPr>
      </w:pPr>
      <w:r w:rsidRPr="000D7A58">
        <w:rPr>
          <w:rFonts w:cstheme="minorHAnsi"/>
        </w:rPr>
        <w:t xml:space="preserve">Adults </w:t>
      </w:r>
      <w:r w:rsidR="00842CD2">
        <w:rPr>
          <w:rFonts w:cstheme="minorHAnsi"/>
        </w:rPr>
        <w:t>Learners</w:t>
      </w:r>
      <w:r w:rsidRPr="000D7A58">
        <w:rPr>
          <w:rFonts w:cstheme="minorHAnsi"/>
        </w:rPr>
        <w:t xml:space="preserve"> 25+ (credit and noncredit, as identified on enrollment forms)</w:t>
      </w:r>
    </w:p>
    <w:p w14:paraId="23AFDA63" w14:textId="58A4C6A0" w:rsidR="00EE0578" w:rsidRDefault="00EE0578" w:rsidP="00842CD2">
      <w:pPr>
        <w:pStyle w:val="ListParagraph"/>
        <w:rPr>
          <w:rFonts w:cstheme="minorHAnsi"/>
          <w:b/>
          <w:bCs/>
        </w:rPr>
      </w:pPr>
    </w:p>
    <w:p w14:paraId="3E2790D8" w14:textId="4178EC59" w:rsidR="009E1826" w:rsidRPr="000D7A58" w:rsidRDefault="009E1826" w:rsidP="009E1826">
      <w:pPr>
        <w:rPr>
          <w:rFonts w:cstheme="minorHAnsi"/>
          <w:bCs/>
        </w:rPr>
      </w:pPr>
      <w:r w:rsidRPr="000D7A58">
        <w:rPr>
          <w:rFonts w:cstheme="minorHAnsi"/>
          <w:bCs/>
          <w:u w:val="single"/>
        </w:rPr>
        <w:t>Targets</w:t>
      </w:r>
      <w:r w:rsidRPr="000D7A58">
        <w:rPr>
          <w:rFonts w:cstheme="minorHAnsi"/>
          <w:bCs/>
        </w:rPr>
        <w:t xml:space="preserve"> </w:t>
      </w:r>
    </w:p>
    <w:p w14:paraId="4BC4A39C" w14:textId="7733EA1E" w:rsidR="00D843A3" w:rsidRPr="000D7A58" w:rsidRDefault="00D843A3" w:rsidP="00D843A3">
      <w:pPr>
        <w:rPr>
          <w:rFonts w:cstheme="minorHAnsi"/>
          <w:bCs/>
        </w:rPr>
      </w:pPr>
      <w:r>
        <w:rPr>
          <w:rFonts w:cstheme="minorHAnsi"/>
          <w:bCs/>
        </w:rPr>
        <w:t>Individual targets were set for each priority population. Each of these will roll up to</w:t>
      </w:r>
      <w:r w:rsidR="000F5E45">
        <w:rPr>
          <w:rFonts w:cstheme="minorHAnsi"/>
          <w:bCs/>
        </w:rPr>
        <w:t xml:space="preserve"> one primary</w:t>
      </w:r>
      <w:r>
        <w:rPr>
          <w:rFonts w:cstheme="minorHAnsi"/>
          <w:bCs/>
        </w:rPr>
        <w:t xml:space="preserve"> </w:t>
      </w:r>
      <w:r w:rsidRPr="000D7A58">
        <w:rPr>
          <w:rFonts w:cstheme="minorHAnsi"/>
          <w:bCs/>
        </w:rPr>
        <w:t>target for the underrepresented students indicator; this target will remain the same throughout the strategic plan:</w:t>
      </w:r>
    </w:p>
    <w:p w14:paraId="51C57C60" w14:textId="77777777" w:rsidR="00D843A3" w:rsidRPr="000D7A58" w:rsidRDefault="00D843A3" w:rsidP="00D843A3">
      <w:pPr>
        <w:rPr>
          <w:rFonts w:cstheme="minorHAnsi"/>
          <w:bCs/>
        </w:rPr>
      </w:pPr>
    </w:p>
    <w:p w14:paraId="20414D83" w14:textId="77777777" w:rsidR="00D843A3" w:rsidRPr="000D7A58" w:rsidRDefault="00D843A3" w:rsidP="00D843A3">
      <w:pPr>
        <w:pStyle w:val="ListParagraph"/>
        <w:numPr>
          <w:ilvl w:val="0"/>
          <w:numId w:val="26"/>
        </w:numPr>
      </w:pPr>
      <w:r w:rsidRPr="000D7A58">
        <w:t>Met: 3 or more of the sub indicators</w:t>
      </w:r>
    </w:p>
    <w:p w14:paraId="04475DE1" w14:textId="77777777" w:rsidR="00D843A3" w:rsidRPr="000D7A58" w:rsidRDefault="00D843A3" w:rsidP="00D843A3">
      <w:pPr>
        <w:pStyle w:val="ListParagraph"/>
        <w:numPr>
          <w:ilvl w:val="0"/>
          <w:numId w:val="26"/>
        </w:numPr>
      </w:pPr>
      <w:r w:rsidRPr="000D7A58">
        <w:t>Almost met: 2 of the sub indicators</w:t>
      </w:r>
    </w:p>
    <w:p w14:paraId="40E9388F" w14:textId="77777777" w:rsidR="00D843A3" w:rsidRPr="000D7A58" w:rsidRDefault="00D843A3" w:rsidP="00D843A3">
      <w:pPr>
        <w:pStyle w:val="ListParagraph"/>
        <w:numPr>
          <w:ilvl w:val="0"/>
          <w:numId w:val="26"/>
        </w:numPr>
      </w:pPr>
      <w:r w:rsidRPr="000D7A58">
        <w:t>Not met: 0 or 1 of the sub indicators</w:t>
      </w:r>
    </w:p>
    <w:p w14:paraId="61D537A5" w14:textId="3B840483" w:rsidR="00D843A3" w:rsidRDefault="00D843A3" w:rsidP="009E1826">
      <w:pPr>
        <w:rPr>
          <w:rFonts w:cstheme="minorHAnsi"/>
          <w:bCs/>
        </w:rPr>
      </w:pPr>
    </w:p>
    <w:p w14:paraId="0270EEA1" w14:textId="19DB44C6" w:rsidR="00D843A3" w:rsidRDefault="00D843A3" w:rsidP="009E1826">
      <w:pPr>
        <w:rPr>
          <w:rFonts w:cstheme="minorHAnsi"/>
          <w:bCs/>
        </w:rPr>
      </w:pPr>
      <w:r>
        <w:rPr>
          <w:rFonts w:cstheme="minorHAnsi"/>
          <w:bCs/>
        </w:rPr>
        <w:t xml:space="preserve">The State’s definition of each of the priority populations was not defined at the time year one indicators were determined, so staff used internal data definitions to guide the year one target. While setting year </w:t>
      </w:r>
      <w:r>
        <w:rPr>
          <w:rFonts w:cstheme="minorHAnsi"/>
          <w:bCs/>
        </w:rPr>
        <w:lastRenderedPageBreak/>
        <w:t xml:space="preserve">two targets, COCC received greater clarity on the definitions </w:t>
      </w:r>
      <w:r w:rsidR="000F5E45">
        <w:rPr>
          <w:rFonts w:cstheme="minorHAnsi"/>
          <w:bCs/>
        </w:rPr>
        <w:t xml:space="preserve">for individual populations </w:t>
      </w:r>
      <w:r>
        <w:rPr>
          <w:rFonts w:cstheme="minorHAnsi"/>
          <w:bCs/>
        </w:rPr>
        <w:t xml:space="preserve">and adjusted its targets accordingly. </w:t>
      </w:r>
    </w:p>
    <w:p w14:paraId="4B0EBCDD" w14:textId="77777777" w:rsidR="00D843A3" w:rsidRDefault="00D843A3" w:rsidP="009E1826">
      <w:pPr>
        <w:rPr>
          <w:rFonts w:cstheme="minorHAnsi"/>
          <w:bCs/>
        </w:rPr>
      </w:pPr>
    </w:p>
    <w:tbl>
      <w:tblPr>
        <w:tblStyle w:val="TableGrid"/>
        <w:tblW w:w="0" w:type="auto"/>
        <w:tblLook w:val="04A0" w:firstRow="1" w:lastRow="0" w:firstColumn="1" w:lastColumn="0" w:noHBand="0" w:noVBand="1"/>
      </w:tblPr>
      <w:tblGrid>
        <w:gridCol w:w="2516"/>
        <w:gridCol w:w="1714"/>
        <w:gridCol w:w="1530"/>
        <w:gridCol w:w="1625"/>
        <w:gridCol w:w="1705"/>
      </w:tblGrid>
      <w:tr w:rsidR="00D843A3" w:rsidRPr="000D7A58" w14:paraId="5706201D" w14:textId="77777777" w:rsidTr="000F5E45">
        <w:tc>
          <w:tcPr>
            <w:tcW w:w="2516" w:type="dxa"/>
            <w:tcBorders>
              <w:top w:val="nil"/>
              <w:left w:val="nil"/>
              <w:bottom w:val="nil"/>
              <w:right w:val="single" w:sz="4" w:space="0" w:color="auto"/>
            </w:tcBorders>
          </w:tcPr>
          <w:p w14:paraId="0892ABA3" w14:textId="77777777" w:rsidR="00D843A3" w:rsidRPr="000D7A58" w:rsidRDefault="00D843A3" w:rsidP="00AB0CEF">
            <w:pPr>
              <w:rPr>
                <w:rFonts w:cstheme="minorHAnsi"/>
                <w:bCs/>
              </w:rPr>
            </w:pPr>
          </w:p>
        </w:tc>
        <w:tc>
          <w:tcPr>
            <w:tcW w:w="1714" w:type="dxa"/>
            <w:tcBorders>
              <w:left w:val="single" w:sz="4" w:space="0" w:color="auto"/>
              <w:bottom w:val="single" w:sz="4" w:space="0" w:color="auto"/>
            </w:tcBorders>
          </w:tcPr>
          <w:p w14:paraId="7DCF31E6" w14:textId="77777777" w:rsidR="00D843A3" w:rsidRPr="000D7A58" w:rsidRDefault="00D843A3" w:rsidP="00AB0CEF">
            <w:pPr>
              <w:jc w:val="center"/>
              <w:rPr>
                <w:rFonts w:cstheme="minorHAnsi"/>
                <w:bCs/>
              </w:rPr>
            </w:pPr>
            <w:r>
              <w:rPr>
                <w:rFonts w:cstheme="minorHAnsi"/>
                <w:bCs/>
              </w:rPr>
              <w:t>Original</w:t>
            </w:r>
          </w:p>
        </w:tc>
        <w:tc>
          <w:tcPr>
            <w:tcW w:w="4860" w:type="dxa"/>
            <w:gridSpan w:val="3"/>
            <w:tcBorders>
              <w:bottom w:val="single" w:sz="4" w:space="0" w:color="auto"/>
            </w:tcBorders>
          </w:tcPr>
          <w:p w14:paraId="10BA52C6" w14:textId="77777777" w:rsidR="00D843A3" w:rsidRPr="000D7A58" w:rsidRDefault="00D843A3" w:rsidP="00AB0CEF">
            <w:pPr>
              <w:jc w:val="center"/>
              <w:rPr>
                <w:rFonts w:cstheme="minorHAnsi"/>
                <w:bCs/>
              </w:rPr>
            </w:pPr>
            <w:r>
              <w:rPr>
                <w:rFonts w:cstheme="minorHAnsi"/>
                <w:bCs/>
              </w:rPr>
              <w:t>Updated</w:t>
            </w:r>
          </w:p>
        </w:tc>
      </w:tr>
      <w:tr w:rsidR="00D843A3" w:rsidRPr="000D7A58" w14:paraId="1D8E21C8" w14:textId="77777777" w:rsidTr="000F5E45">
        <w:tc>
          <w:tcPr>
            <w:tcW w:w="2516" w:type="dxa"/>
            <w:tcBorders>
              <w:top w:val="nil"/>
              <w:left w:val="nil"/>
              <w:bottom w:val="double" w:sz="4" w:space="0" w:color="auto"/>
              <w:right w:val="single" w:sz="4" w:space="0" w:color="auto"/>
            </w:tcBorders>
          </w:tcPr>
          <w:p w14:paraId="42303695" w14:textId="77777777" w:rsidR="00D843A3" w:rsidRPr="000D7A58" w:rsidRDefault="00D843A3" w:rsidP="00AB0CEF">
            <w:pPr>
              <w:rPr>
                <w:rFonts w:cstheme="minorHAnsi"/>
                <w:bCs/>
              </w:rPr>
            </w:pPr>
          </w:p>
        </w:tc>
        <w:tc>
          <w:tcPr>
            <w:tcW w:w="1714" w:type="dxa"/>
            <w:tcBorders>
              <w:top w:val="single" w:sz="4" w:space="0" w:color="auto"/>
              <w:left w:val="single" w:sz="4" w:space="0" w:color="auto"/>
              <w:bottom w:val="double" w:sz="4" w:space="0" w:color="auto"/>
            </w:tcBorders>
          </w:tcPr>
          <w:p w14:paraId="4EAAC2C0" w14:textId="77777777" w:rsidR="00D843A3" w:rsidRPr="000D7A58" w:rsidRDefault="00D843A3" w:rsidP="00AB0CEF">
            <w:pPr>
              <w:jc w:val="center"/>
              <w:rPr>
                <w:rFonts w:cstheme="minorHAnsi"/>
                <w:bCs/>
              </w:rPr>
            </w:pPr>
            <w:r w:rsidRPr="000D7A58">
              <w:rPr>
                <w:rFonts w:cstheme="minorHAnsi"/>
                <w:bCs/>
              </w:rPr>
              <w:t>2023-24</w:t>
            </w:r>
          </w:p>
        </w:tc>
        <w:tc>
          <w:tcPr>
            <w:tcW w:w="1530" w:type="dxa"/>
            <w:tcBorders>
              <w:top w:val="single" w:sz="4" w:space="0" w:color="auto"/>
              <w:bottom w:val="double" w:sz="4" w:space="0" w:color="auto"/>
            </w:tcBorders>
          </w:tcPr>
          <w:p w14:paraId="07FE2AAD" w14:textId="77777777" w:rsidR="00D843A3" w:rsidRPr="000D7A58" w:rsidRDefault="00D843A3" w:rsidP="00AB0CEF">
            <w:pPr>
              <w:jc w:val="center"/>
              <w:rPr>
                <w:rFonts w:cstheme="minorHAnsi"/>
                <w:bCs/>
              </w:rPr>
            </w:pPr>
            <w:r w:rsidRPr="000D7A58">
              <w:rPr>
                <w:rFonts w:cstheme="minorHAnsi"/>
                <w:bCs/>
              </w:rPr>
              <w:t>2024-25</w:t>
            </w:r>
          </w:p>
        </w:tc>
        <w:tc>
          <w:tcPr>
            <w:tcW w:w="1625" w:type="dxa"/>
            <w:tcBorders>
              <w:top w:val="single" w:sz="4" w:space="0" w:color="auto"/>
              <w:bottom w:val="double" w:sz="4" w:space="0" w:color="auto"/>
            </w:tcBorders>
          </w:tcPr>
          <w:p w14:paraId="3CB7EA0B" w14:textId="77777777" w:rsidR="00D843A3" w:rsidRPr="000D7A58" w:rsidRDefault="00D843A3" w:rsidP="00AB0CEF">
            <w:pPr>
              <w:jc w:val="center"/>
              <w:rPr>
                <w:rFonts w:cstheme="minorHAnsi"/>
                <w:bCs/>
              </w:rPr>
            </w:pPr>
            <w:r w:rsidRPr="000D7A58">
              <w:rPr>
                <w:rFonts w:cstheme="minorHAnsi"/>
                <w:bCs/>
              </w:rPr>
              <w:t>2025-26</w:t>
            </w:r>
          </w:p>
        </w:tc>
        <w:tc>
          <w:tcPr>
            <w:tcW w:w="1705" w:type="dxa"/>
            <w:tcBorders>
              <w:top w:val="single" w:sz="4" w:space="0" w:color="auto"/>
              <w:bottom w:val="double" w:sz="4" w:space="0" w:color="auto"/>
            </w:tcBorders>
          </w:tcPr>
          <w:p w14:paraId="769A6E80" w14:textId="77777777" w:rsidR="00D843A3" w:rsidRPr="000D7A58" w:rsidRDefault="00D843A3" w:rsidP="00AB0CEF">
            <w:pPr>
              <w:jc w:val="center"/>
              <w:rPr>
                <w:rFonts w:cstheme="minorHAnsi"/>
                <w:bCs/>
              </w:rPr>
            </w:pPr>
            <w:r w:rsidRPr="000D7A58">
              <w:rPr>
                <w:rFonts w:cstheme="minorHAnsi"/>
                <w:bCs/>
              </w:rPr>
              <w:t>2026-27</w:t>
            </w:r>
          </w:p>
        </w:tc>
      </w:tr>
      <w:tr w:rsidR="00D843A3" w:rsidRPr="000D7A58" w14:paraId="6FCB12E8" w14:textId="77777777" w:rsidTr="000F5E45">
        <w:tc>
          <w:tcPr>
            <w:tcW w:w="2516" w:type="dxa"/>
            <w:tcBorders>
              <w:top w:val="double" w:sz="4" w:space="0" w:color="auto"/>
            </w:tcBorders>
          </w:tcPr>
          <w:p w14:paraId="151A2078" w14:textId="42D0CA00" w:rsidR="00D843A3" w:rsidRPr="000D7A58" w:rsidRDefault="00D843A3" w:rsidP="00AB0CEF">
            <w:r>
              <w:t>Low-Income</w:t>
            </w:r>
          </w:p>
        </w:tc>
        <w:tc>
          <w:tcPr>
            <w:tcW w:w="1714" w:type="dxa"/>
            <w:tcBorders>
              <w:top w:val="double" w:sz="4" w:space="0" w:color="auto"/>
            </w:tcBorders>
          </w:tcPr>
          <w:p w14:paraId="265C5B5C" w14:textId="27A3B822" w:rsidR="00D843A3" w:rsidRPr="000D7A58" w:rsidRDefault="00D843A3" w:rsidP="00D843A3">
            <w:pPr>
              <w:jc w:val="center"/>
            </w:pPr>
            <w:r>
              <w:t>15%</w:t>
            </w:r>
          </w:p>
        </w:tc>
        <w:tc>
          <w:tcPr>
            <w:tcW w:w="1530" w:type="dxa"/>
            <w:tcBorders>
              <w:top w:val="double" w:sz="4" w:space="0" w:color="auto"/>
            </w:tcBorders>
          </w:tcPr>
          <w:p w14:paraId="4029A200" w14:textId="7992536D" w:rsidR="00D843A3" w:rsidRPr="000D7A58" w:rsidRDefault="00D843A3" w:rsidP="00D843A3">
            <w:pPr>
              <w:jc w:val="center"/>
            </w:pPr>
            <w:r>
              <w:t>26%</w:t>
            </w:r>
          </w:p>
        </w:tc>
        <w:tc>
          <w:tcPr>
            <w:tcW w:w="1625" w:type="dxa"/>
            <w:tcBorders>
              <w:top w:val="double" w:sz="4" w:space="0" w:color="auto"/>
            </w:tcBorders>
          </w:tcPr>
          <w:p w14:paraId="1838C214" w14:textId="7E6C222E" w:rsidR="00D843A3" w:rsidRPr="000D7A58" w:rsidRDefault="00D843A3" w:rsidP="00D843A3">
            <w:pPr>
              <w:jc w:val="center"/>
            </w:pPr>
            <w:r>
              <w:t>28%</w:t>
            </w:r>
          </w:p>
        </w:tc>
        <w:tc>
          <w:tcPr>
            <w:tcW w:w="1705" w:type="dxa"/>
            <w:tcBorders>
              <w:top w:val="double" w:sz="4" w:space="0" w:color="auto"/>
            </w:tcBorders>
          </w:tcPr>
          <w:p w14:paraId="547A3834" w14:textId="2D4B2C6F" w:rsidR="00D843A3" w:rsidRPr="000D7A58" w:rsidRDefault="00D843A3" w:rsidP="00D843A3">
            <w:pPr>
              <w:jc w:val="center"/>
              <w:rPr>
                <w:rFonts w:cstheme="minorHAnsi"/>
                <w:bCs/>
              </w:rPr>
            </w:pPr>
            <w:r>
              <w:rPr>
                <w:rFonts w:cstheme="minorHAnsi"/>
                <w:bCs/>
              </w:rPr>
              <w:t>30%</w:t>
            </w:r>
          </w:p>
        </w:tc>
      </w:tr>
      <w:tr w:rsidR="00D843A3" w:rsidRPr="000D7A58" w14:paraId="326762D6" w14:textId="77777777" w:rsidTr="000F5E45">
        <w:tc>
          <w:tcPr>
            <w:tcW w:w="2516" w:type="dxa"/>
          </w:tcPr>
          <w:p w14:paraId="5CA13D53" w14:textId="14718260" w:rsidR="00D843A3" w:rsidRPr="000D7A58" w:rsidRDefault="00D843A3" w:rsidP="00AB0CEF">
            <w:r>
              <w:t>Adult Learners</w:t>
            </w:r>
          </w:p>
        </w:tc>
        <w:tc>
          <w:tcPr>
            <w:tcW w:w="1714" w:type="dxa"/>
          </w:tcPr>
          <w:p w14:paraId="30BA7A7C" w14:textId="6BE897D8" w:rsidR="00D843A3" w:rsidRPr="000D7A58" w:rsidRDefault="00D843A3" w:rsidP="00D843A3">
            <w:pPr>
              <w:jc w:val="center"/>
            </w:pPr>
            <w:r>
              <w:t>47%</w:t>
            </w:r>
          </w:p>
        </w:tc>
        <w:tc>
          <w:tcPr>
            <w:tcW w:w="1530" w:type="dxa"/>
          </w:tcPr>
          <w:p w14:paraId="7CF9BF02" w14:textId="374459F0" w:rsidR="00D843A3" w:rsidRPr="000D7A58" w:rsidRDefault="00D843A3" w:rsidP="00D843A3">
            <w:pPr>
              <w:jc w:val="center"/>
            </w:pPr>
            <w:r>
              <w:t>47%</w:t>
            </w:r>
          </w:p>
        </w:tc>
        <w:tc>
          <w:tcPr>
            <w:tcW w:w="1625" w:type="dxa"/>
          </w:tcPr>
          <w:p w14:paraId="1421B95F" w14:textId="68C940C9" w:rsidR="00D843A3" w:rsidRPr="000D7A58" w:rsidRDefault="00D843A3" w:rsidP="00D843A3">
            <w:pPr>
              <w:jc w:val="center"/>
            </w:pPr>
            <w:r>
              <w:t>48%</w:t>
            </w:r>
          </w:p>
        </w:tc>
        <w:tc>
          <w:tcPr>
            <w:tcW w:w="1705" w:type="dxa"/>
          </w:tcPr>
          <w:p w14:paraId="6CD13EE9" w14:textId="077A73AE" w:rsidR="00D843A3" w:rsidRPr="000D7A58" w:rsidRDefault="00D843A3" w:rsidP="00D843A3">
            <w:pPr>
              <w:jc w:val="center"/>
              <w:rPr>
                <w:rFonts w:cstheme="minorHAnsi"/>
                <w:bCs/>
              </w:rPr>
            </w:pPr>
            <w:r>
              <w:rPr>
                <w:rFonts w:cstheme="minorHAnsi"/>
                <w:bCs/>
              </w:rPr>
              <w:t>49%</w:t>
            </w:r>
          </w:p>
        </w:tc>
      </w:tr>
      <w:tr w:rsidR="00D843A3" w:rsidRPr="000D7A58" w14:paraId="483200A1" w14:textId="77777777" w:rsidTr="000F5E45">
        <w:tc>
          <w:tcPr>
            <w:tcW w:w="2516" w:type="dxa"/>
          </w:tcPr>
          <w:p w14:paraId="43477EB0" w14:textId="2AB14F1D" w:rsidR="00D843A3" w:rsidRPr="000D7A58" w:rsidRDefault="00D843A3" w:rsidP="00AB0CEF">
            <w:r>
              <w:t>BILAPOC</w:t>
            </w:r>
          </w:p>
        </w:tc>
        <w:tc>
          <w:tcPr>
            <w:tcW w:w="1714" w:type="dxa"/>
          </w:tcPr>
          <w:p w14:paraId="28D402B3" w14:textId="43594D7D" w:rsidR="00D843A3" w:rsidRPr="000D7A58" w:rsidRDefault="00D843A3" w:rsidP="00D843A3">
            <w:pPr>
              <w:jc w:val="center"/>
            </w:pPr>
            <w:r>
              <w:t>22%</w:t>
            </w:r>
          </w:p>
        </w:tc>
        <w:tc>
          <w:tcPr>
            <w:tcW w:w="1530" w:type="dxa"/>
          </w:tcPr>
          <w:p w14:paraId="687861EB" w14:textId="63DE6F39" w:rsidR="00D843A3" w:rsidRPr="000D7A58" w:rsidRDefault="00D843A3" w:rsidP="00D843A3">
            <w:pPr>
              <w:jc w:val="center"/>
            </w:pPr>
            <w:r>
              <w:t>22%</w:t>
            </w:r>
          </w:p>
        </w:tc>
        <w:tc>
          <w:tcPr>
            <w:tcW w:w="1625" w:type="dxa"/>
          </w:tcPr>
          <w:p w14:paraId="6D516CDA" w14:textId="3AB4A089" w:rsidR="00D843A3" w:rsidRPr="000D7A58" w:rsidRDefault="00D843A3" w:rsidP="00D843A3">
            <w:pPr>
              <w:jc w:val="center"/>
            </w:pPr>
            <w:r>
              <w:t>24%</w:t>
            </w:r>
          </w:p>
        </w:tc>
        <w:tc>
          <w:tcPr>
            <w:tcW w:w="1705" w:type="dxa"/>
          </w:tcPr>
          <w:p w14:paraId="67C9EA65" w14:textId="50369CFA" w:rsidR="00D843A3" w:rsidRPr="000D7A58" w:rsidRDefault="00D843A3" w:rsidP="00D843A3">
            <w:pPr>
              <w:jc w:val="center"/>
              <w:rPr>
                <w:rFonts w:cstheme="minorHAnsi"/>
                <w:bCs/>
              </w:rPr>
            </w:pPr>
            <w:r>
              <w:rPr>
                <w:rFonts w:cstheme="minorHAnsi"/>
                <w:bCs/>
              </w:rPr>
              <w:t>26%</w:t>
            </w:r>
          </w:p>
        </w:tc>
      </w:tr>
      <w:tr w:rsidR="00D843A3" w:rsidRPr="000D7A58" w14:paraId="35C9CF42" w14:textId="77777777" w:rsidTr="000F5E45">
        <w:tc>
          <w:tcPr>
            <w:tcW w:w="2516" w:type="dxa"/>
          </w:tcPr>
          <w:p w14:paraId="31C18609" w14:textId="56E00740" w:rsidR="00D843A3" w:rsidRDefault="00D843A3" w:rsidP="00AB0CEF">
            <w:r>
              <w:t>CTE/Workforce Training</w:t>
            </w:r>
          </w:p>
        </w:tc>
        <w:tc>
          <w:tcPr>
            <w:tcW w:w="1714" w:type="dxa"/>
          </w:tcPr>
          <w:p w14:paraId="683FC409" w14:textId="1B2026FA" w:rsidR="00D843A3" w:rsidRPr="000D7A58" w:rsidRDefault="00D843A3" w:rsidP="00D843A3">
            <w:pPr>
              <w:jc w:val="center"/>
            </w:pPr>
            <w:r>
              <w:t>37%</w:t>
            </w:r>
          </w:p>
        </w:tc>
        <w:tc>
          <w:tcPr>
            <w:tcW w:w="1530" w:type="dxa"/>
          </w:tcPr>
          <w:p w14:paraId="71507305" w14:textId="13E5C8A7" w:rsidR="00D843A3" w:rsidRPr="000D7A58" w:rsidRDefault="00D843A3" w:rsidP="00D843A3">
            <w:pPr>
              <w:jc w:val="center"/>
            </w:pPr>
            <w:r>
              <w:t>53%</w:t>
            </w:r>
          </w:p>
        </w:tc>
        <w:tc>
          <w:tcPr>
            <w:tcW w:w="1625" w:type="dxa"/>
          </w:tcPr>
          <w:p w14:paraId="36597A48" w14:textId="4DAA7643" w:rsidR="00D843A3" w:rsidRPr="000D7A58" w:rsidRDefault="00D843A3" w:rsidP="00D843A3">
            <w:pPr>
              <w:jc w:val="center"/>
            </w:pPr>
            <w:r>
              <w:t>54%</w:t>
            </w:r>
          </w:p>
        </w:tc>
        <w:tc>
          <w:tcPr>
            <w:tcW w:w="1705" w:type="dxa"/>
          </w:tcPr>
          <w:p w14:paraId="21B4F28D" w14:textId="29571AAD" w:rsidR="00D843A3" w:rsidRPr="000D7A58" w:rsidRDefault="00D843A3" w:rsidP="00D843A3">
            <w:pPr>
              <w:jc w:val="center"/>
              <w:rPr>
                <w:rFonts w:cstheme="minorHAnsi"/>
                <w:bCs/>
              </w:rPr>
            </w:pPr>
            <w:r>
              <w:rPr>
                <w:rFonts w:cstheme="minorHAnsi"/>
                <w:bCs/>
              </w:rPr>
              <w:t>55%</w:t>
            </w:r>
          </w:p>
        </w:tc>
      </w:tr>
    </w:tbl>
    <w:p w14:paraId="5439C509" w14:textId="77777777" w:rsidR="00D843A3" w:rsidRDefault="00D843A3" w:rsidP="00D843A3">
      <w:pPr>
        <w:rPr>
          <w:b/>
          <w:bCs/>
        </w:rPr>
      </w:pPr>
    </w:p>
    <w:p w14:paraId="693CCB04" w14:textId="09688889" w:rsidR="00D843A3" w:rsidRDefault="00D843A3" w:rsidP="000F5E45">
      <w:r w:rsidRPr="00D843A3">
        <w:rPr>
          <w:u w:val="single"/>
        </w:rPr>
        <w:t>Peer Institutions</w:t>
      </w:r>
      <w:r w:rsidRPr="00D843A3">
        <w:t xml:space="preserve">: </w:t>
      </w:r>
      <w:r w:rsidR="000F5E45" w:rsidRPr="000F5E45">
        <w:t>The Higher Education Coordinating Commission has yet to develop a mechanism for providing peer comparison data back to the community colleges so no comparison is available at this time.</w:t>
      </w:r>
    </w:p>
    <w:p w14:paraId="0A4A9CA8" w14:textId="77777777" w:rsidR="000F5E45" w:rsidRDefault="000F5E45" w:rsidP="000F5E45">
      <w:pPr>
        <w:rPr>
          <w:u w:val="single"/>
        </w:rPr>
      </w:pPr>
    </w:p>
    <w:p w14:paraId="0269F1C2" w14:textId="27946EDC" w:rsidR="000F5E45" w:rsidRDefault="00D843A3" w:rsidP="00D843A3">
      <w:r w:rsidRPr="000F5E45">
        <w:rPr>
          <w:u w:val="single"/>
        </w:rPr>
        <w:t>Progress</w:t>
      </w:r>
      <w:r w:rsidRPr="000F5E45">
        <w:t>:</w:t>
      </w:r>
      <w:r w:rsidR="000F5E45">
        <w:t xml:space="preserve"> Overall, progress on this indicator was not met as the College only met one of its targets, that for adult learners:</w:t>
      </w:r>
    </w:p>
    <w:p w14:paraId="046DA4D9" w14:textId="7D59D1C6" w:rsidR="000F5E45" w:rsidRDefault="000F5E45" w:rsidP="00D843A3"/>
    <w:tbl>
      <w:tblPr>
        <w:tblStyle w:val="TableGrid"/>
        <w:tblW w:w="0" w:type="auto"/>
        <w:tblLook w:val="04A0" w:firstRow="1" w:lastRow="0" w:firstColumn="1" w:lastColumn="0" w:noHBand="0" w:noVBand="1"/>
      </w:tblPr>
      <w:tblGrid>
        <w:gridCol w:w="2516"/>
        <w:gridCol w:w="2074"/>
        <w:gridCol w:w="2160"/>
      </w:tblGrid>
      <w:tr w:rsidR="000F5E45" w:rsidRPr="000D7A58" w14:paraId="5F2DA2E8" w14:textId="77777777" w:rsidTr="00D4674D">
        <w:tc>
          <w:tcPr>
            <w:tcW w:w="2516" w:type="dxa"/>
            <w:tcBorders>
              <w:top w:val="nil"/>
              <w:left w:val="nil"/>
              <w:bottom w:val="double" w:sz="4" w:space="0" w:color="auto"/>
              <w:right w:val="single" w:sz="4" w:space="0" w:color="auto"/>
            </w:tcBorders>
          </w:tcPr>
          <w:p w14:paraId="40741514" w14:textId="77777777" w:rsidR="000F5E45" w:rsidRPr="000D7A58" w:rsidRDefault="000F5E45" w:rsidP="00AB0CEF">
            <w:pPr>
              <w:rPr>
                <w:rFonts w:cstheme="minorHAnsi"/>
                <w:bCs/>
              </w:rPr>
            </w:pPr>
          </w:p>
        </w:tc>
        <w:tc>
          <w:tcPr>
            <w:tcW w:w="2074" w:type="dxa"/>
            <w:tcBorders>
              <w:top w:val="single" w:sz="4" w:space="0" w:color="auto"/>
              <w:bottom w:val="double" w:sz="4" w:space="0" w:color="auto"/>
            </w:tcBorders>
          </w:tcPr>
          <w:p w14:paraId="43D66DAC" w14:textId="678A9353" w:rsidR="000F5E45" w:rsidRPr="000D7A58" w:rsidRDefault="000F5E45" w:rsidP="00AB0CEF">
            <w:pPr>
              <w:jc w:val="center"/>
              <w:rPr>
                <w:rFonts w:cstheme="minorHAnsi"/>
                <w:bCs/>
              </w:rPr>
            </w:pPr>
            <w:r w:rsidRPr="000D7A58">
              <w:rPr>
                <w:rFonts w:cstheme="minorHAnsi"/>
                <w:bCs/>
              </w:rPr>
              <w:t>2024-25</w:t>
            </w:r>
            <w:r>
              <w:rPr>
                <w:rFonts w:cstheme="minorHAnsi"/>
                <w:bCs/>
              </w:rPr>
              <w:t xml:space="preserve"> Target</w:t>
            </w:r>
          </w:p>
        </w:tc>
        <w:tc>
          <w:tcPr>
            <w:tcW w:w="2160" w:type="dxa"/>
            <w:tcBorders>
              <w:top w:val="single" w:sz="4" w:space="0" w:color="auto"/>
              <w:bottom w:val="double" w:sz="4" w:space="0" w:color="auto"/>
            </w:tcBorders>
          </w:tcPr>
          <w:p w14:paraId="143A258C" w14:textId="7D48B636" w:rsidR="000F5E45" w:rsidRPr="000D7A58" w:rsidRDefault="000F5E45" w:rsidP="00AB0CEF">
            <w:pPr>
              <w:jc w:val="center"/>
              <w:rPr>
                <w:rFonts w:cstheme="minorHAnsi"/>
                <w:bCs/>
              </w:rPr>
            </w:pPr>
            <w:r>
              <w:rPr>
                <w:rFonts w:cstheme="minorHAnsi"/>
                <w:bCs/>
              </w:rPr>
              <w:t xml:space="preserve">2024-25 </w:t>
            </w:r>
            <w:r w:rsidR="000109DE">
              <w:rPr>
                <w:rFonts w:cstheme="minorHAnsi"/>
                <w:bCs/>
              </w:rPr>
              <w:t>Preliminary</w:t>
            </w:r>
          </w:p>
        </w:tc>
      </w:tr>
      <w:tr w:rsidR="000F5E45" w:rsidRPr="000D7A58" w14:paraId="25612F47" w14:textId="77777777" w:rsidTr="00D4674D">
        <w:tc>
          <w:tcPr>
            <w:tcW w:w="2516" w:type="dxa"/>
            <w:tcBorders>
              <w:top w:val="double" w:sz="4" w:space="0" w:color="auto"/>
            </w:tcBorders>
          </w:tcPr>
          <w:p w14:paraId="74CF7CB0" w14:textId="77777777" w:rsidR="000F5E45" w:rsidRPr="000D7A58" w:rsidRDefault="000F5E45" w:rsidP="00AB0CEF">
            <w:r>
              <w:t>Low-Income</w:t>
            </w:r>
          </w:p>
        </w:tc>
        <w:tc>
          <w:tcPr>
            <w:tcW w:w="2074" w:type="dxa"/>
            <w:tcBorders>
              <w:top w:val="double" w:sz="4" w:space="0" w:color="auto"/>
            </w:tcBorders>
          </w:tcPr>
          <w:p w14:paraId="3950FB9F" w14:textId="77777777" w:rsidR="000F5E45" w:rsidRPr="000D7A58" w:rsidRDefault="000F5E45" w:rsidP="00AB0CEF">
            <w:pPr>
              <w:jc w:val="center"/>
            </w:pPr>
            <w:r>
              <w:t>26%</w:t>
            </w:r>
          </w:p>
        </w:tc>
        <w:tc>
          <w:tcPr>
            <w:tcW w:w="2160" w:type="dxa"/>
            <w:tcBorders>
              <w:top w:val="double" w:sz="4" w:space="0" w:color="auto"/>
            </w:tcBorders>
          </w:tcPr>
          <w:p w14:paraId="72D1C871" w14:textId="756DAE96" w:rsidR="000F5E45" w:rsidRPr="000D7A58" w:rsidRDefault="000F5E45" w:rsidP="00AB0CEF">
            <w:pPr>
              <w:jc w:val="center"/>
            </w:pPr>
            <w:r>
              <w:t>24%</w:t>
            </w:r>
          </w:p>
        </w:tc>
      </w:tr>
      <w:tr w:rsidR="000F5E45" w:rsidRPr="000D7A58" w14:paraId="378FFCCC" w14:textId="77777777" w:rsidTr="00D4674D">
        <w:tc>
          <w:tcPr>
            <w:tcW w:w="2516" w:type="dxa"/>
          </w:tcPr>
          <w:p w14:paraId="1C5F7403" w14:textId="77777777" w:rsidR="000F5E45" w:rsidRPr="000D7A58" w:rsidRDefault="000F5E45" w:rsidP="00AB0CEF">
            <w:r>
              <w:t>Adult Learners</w:t>
            </w:r>
          </w:p>
        </w:tc>
        <w:tc>
          <w:tcPr>
            <w:tcW w:w="2074" w:type="dxa"/>
          </w:tcPr>
          <w:p w14:paraId="3070B3D6" w14:textId="77777777" w:rsidR="000F5E45" w:rsidRPr="000D7A58" w:rsidRDefault="000F5E45" w:rsidP="00AB0CEF">
            <w:pPr>
              <w:jc w:val="center"/>
            </w:pPr>
            <w:r>
              <w:t>47%</w:t>
            </w:r>
          </w:p>
        </w:tc>
        <w:tc>
          <w:tcPr>
            <w:tcW w:w="2160" w:type="dxa"/>
          </w:tcPr>
          <w:p w14:paraId="6EAFF14E" w14:textId="1A32CFCA" w:rsidR="000F5E45" w:rsidRPr="000D7A58" w:rsidRDefault="000F5E45" w:rsidP="00AB0CEF">
            <w:pPr>
              <w:jc w:val="center"/>
            </w:pPr>
            <w:r>
              <w:t>51%</w:t>
            </w:r>
          </w:p>
        </w:tc>
      </w:tr>
      <w:tr w:rsidR="000F5E45" w:rsidRPr="000D7A58" w14:paraId="057CCCA2" w14:textId="77777777" w:rsidTr="00D4674D">
        <w:tc>
          <w:tcPr>
            <w:tcW w:w="2516" w:type="dxa"/>
          </w:tcPr>
          <w:p w14:paraId="29E1ED03" w14:textId="77777777" w:rsidR="000F5E45" w:rsidRPr="000D7A58" w:rsidRDefault="000F5E45" w:rsidP="00AB0CEF">
            <w:r>
              <w:t>BILAPOC</w:t>
            </w:r>
          </w:p>
        </w:tc>
        <w:tc>
          <w:tcPr>
            <w:tcW w:w="2074" w:type="dxa"/>
          </w:tcPr>
          <w:p w14:paraId="65733DA1" w14:textId="77777777" w:rsidR="000F5E45" w:rsidRPr="000D7A58" w:rsidRDefault="000F5E45" w:rsidP="00AB0CEF">
            <w:pPr>
              <w:jc w:val="center"/>
            </w:pPr>
            <w:r>
              <w:t>22%</w:t>
            </w:r>
          </w:p>
        </w:tc>
        <w:tc>
          <w:tcPr>
            <w:tcW w:w="2160" w:type="dxa"/>
          </w:tcPr>
          <w:p w14:paraId="11102DBF" w14:textId="1050DDDA" w:rsidR="000F5E45" w:rsidRPr="000D7A58" w:rsidRDefault="000F5E45" w:rsidP="00AB0CEF">
            <w:pPr>
              <w:jc w:val="center"/>
            </w:pPr>
            <w:r>
              <w:t>20%</w:t>
            </w:r>
          </w:p>
        </w:tc>
      </w:tr>
      <w:tr w:rsidR="000F5E45" w:rsidRPr="000D7A58" w14:paraId="75A4A226" w14:textId="77777777" w:rsidTr="00D4674D">
        <w:tc>
          <w:tcPr>
            <w:tcW w:w="2516" w:type="dxa"/>
          </w:tcPr>
          <w:p w14:paraId="1FC3186D" w14:textId="77777777" w:rsidR="000F5E45" w:rsidRDefault="000F5E45" w:rsidP="00AB0CEF">
            <w:r>
              <w:t>CTE/Workforce Training</w:t>
            </w:r>
          </w:p>
        </w:tc>
        <w:tc>
          <w:tcPr>
            <w:tcW w:w="2074" w:type="dxa"/>
          </w:tcPr>
          <w:p w14:paraId="29DCADC4" w14:textId="77777777" w:rsidR="000F5E45" w:rsidRPr="000D7A58" w:rsidRDefault="000F5E45" w:rsidP="00AB0CEF">
            <w:pPr>
              <w:jc w:val="center"/>
            </w:pPr>
            <w:r>
              <w:t>53%</w:t>
            </w:r>
          </w:p>
        </w:tc>
        <w:tc>
          <w:tcPr>
            <w:tcW w:w="2160" w:type="dxa"/>
          </w:tcPr>
          <w:p w14:paraId="120310EC" w14:textId="4676B89D" w:rsidR="000F5E45" w:rsidRPr="000D7A58" w:rsidRDefault="000F5E45" w:rsidP="00AB0CEF">
            <w:pPr>
              <w:jc w:val="center"/>
            </w:pPr>
            <w:r>
              <w:t>48%</w:t>
            </w:r>
          </w:p>
        </w:tc>
      </w:tr>
    </w:tbl>
    <w:p w14:paraId="47ED7AC6" w14:textId="3E762E1D" w:rsidR="000F5E45" w:rsidRDefault="000F5E45" w:rsidP="000F5E45">
      <w:pPr>
        <w:rPr>
          <w:b/>
          <w:bCs/>
        </w:rPr>
      </w:pPr>
    </w:p>
    <w:p w14:paraId="56D3DCE9" w14:textId="18C7BBB2" w:rsidR="000109DE" w:rsidRPr="000109DE" w:rsidRDefault="000109DE" w:rsidP="000F5E45">
      <w:r w:rsidRPr="000109DE">
        <w:t xml:space="preserve">COCC staff will review finalized data in early summer and develop plans to address any targets not met. It is important to note that, like the </w:t>
      </w:r>
      <w:proofErr w:type="gramStart"/>
      <w:r w:rsidRPr="000109DE">
        <w:t>Student</w:t>
      </w:r>
      <w:proofErr w:type="gramEnd"/>
      <w:r w:rsidRPr="000109DE">
        <w:t xml:space="preserve">-Ready indicators, </w:t>
      </w:r>
      <w:r w:rsidR="00DC7299">
        <w:t xml:space="preserve">many of these populations will benefit from </w:t>
      </w:r>
      <w:r w:rsidRPr="000109DE">
        <w:t>Guided Pathways work</w:t>
      </w:r>
      <w:r w:rsidR="00DC7299">
        <w:t xml:space="preserve"> and may not see significant gains until project implementation.</w:t>
      </w:r>
    </w:p>
    <w:p w14:paraId="7C9CD6B6" w14:textId="44EA5115" w:rsidR="009E1826" w:rsidRPr="000D7A58" w:rsidRDefault="009E1826" w:rsidP="009E1826">
      <w:pPr>
        <w:rPr>
          <w:rFonts w:cstheme="minorHAnsi"/>
        </w:rPr>
      </w:pPr>
    </w:p>
    <w:p w14:paraId="5A01D895" w14:textId="2314E5C0"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Online Courses and Programs</w:t>
      </w:r>
      <w:r w:rsidRPr="000D7A58">
        <w:rPr>
          <w:rFonts w:cstheme="minorHAnsi"/>
          <w:b/>
        </w:rPr>
        <w:tab/>
        <w:t>Annemarie Hamlin</w:t>
      </w:r>
    </w:p>
    <w:p w14:paraId="13DEAB11" w14:textId="77777777" w:rsidR="009E1826" w:rsidRPr="000D7A58" w:rsidRDefault="009E1826" w:rsidP="009E1826">
      <w:pPr>
        <w:rPr>
          <w:rFonts w:cstheme="minorHAnsi"/>
          <w:bCs/>
        </w:rPr>
      </w:pPr>
    </w:p>
    <w:p w14:paraId="576F7E6C" w14:textId="7BD94BDB" w:rsidR="00FC6172" w:rsidRPr="000D7A58" w:rsidRDefault="00FC6172" w:rsidP="00FC6172">
      <w:pPr>
        <w:rPr>
          <w:rFonts w:cstheme="minorHAnsi"/>
          <w:bCs/>
          <w:u w:val="single"/>
        </w:rPr>
      </w:pPr>
      <w:r w:rsidRPr="000D7A58">
        <w:rPr>
          <w:rFonts w:cstheme="minorHAnsi"/>
          <w:bCs/>
          <w:u w:val="single"/>
        </w:rPr>
        <w:t>Rationale for Indicator</w:t>
      </w:r>
      <w:r w:rsidRPr="000D7A58">
        <w:rPr>
          <w:rFonts w:cstheme="minorHAnsi"/>
          <w:bCs/>
        </w:rPr>
        <w:t xml:space="preserve">: </w:t>
      </w:r>
      <w:r w:rsidR="00216345">
        <w:rPr>
          <w:rFonts w:cstheme="minorHAnsi"/>
          <w:bCs/>
        </w:rPr>
        <w:t>Online courses provide access to higher education for students throughout COCC’s service district, some of whom may not be able to travel to COCC campuses, have work or family obligations that prevent them from taking in-person classes, or prefer online learning. Meeting the differentiated needs of students includes offering online instruction and further advances the College</w:t>
      </w:r>
      <w:r w:rsidR="00DC7299">
        <w:rPr>
          <w:rFonts w:cstheme="minorHAnsi"/>
          <w:bCs/>
        </w:rPr>
        <w:t>’</w:t>
      </w:r>
      <w:r w:rsidR="00216345">
        <w:rPr>
          <w:rFonts w:cstheme="minorHAnsi"/>
          <w:bCs/>
        </w:rPr>
        <w:t>s access goal.</w:t>
      </w:r>
    </w:p>
    <w:p w14:paraId="6B51DAAF" w14:textId="77777777" w:rsidR="00FC6172" w:rsidRPr="000D7A58" w:rsidRDefault="00FC6172" w:rsidP="00FC6172">
      <w:pPr>
        <w:rPr>
          <w:rFonts w:cstheme="minorHAnsi"/>
          <w:bCs/>
          <w:u w:val="single"/>
        </w:rPr>
      </w:pPr>
    </w:p>
    <w:p w14:paraId="3E3F6987" w14:textId="50849B11" w:rsidR="00FC6172" w:rsidRPr="000D7A58" w:rsidRDefault="00FC6172" w:rsidP="00FC6172">
      <w:pPr>
        <w:rPr>
          <w:rFonts w:cstheme="minorHAnsi"/>
          <w:bCs/>
          <w:u w:val="single"/>
        </w:rPr>
      </w:pPr>
      <w:r w:rsidRPr="000D7A58">
        <w:rPr>
          <w:rFonts w:cstheme="minorHAnsi"/>
          <w:bCs/>
          <w:u w:val="single"/>
        </w:rPr>
        <w:t>Definition</w:t>
      </w:r>
      <w:r w:rsidRPr="000D7A58">
        <w:rPr>
          <w:rFonts w:cstheme="minorHAnsi"/>
          <w:bCs/>
        </w:rPr>
        <w:t xml:space="preserve">: </w:t>
      </w:r>
      <w:r w:rsidR="00216345">
        <w:rPr>
          <w:rFonts w:cstheme="minorHAnsi"/>
          <w:bCs/>
        </w:rPr>
        <w:t xml:space="preserve">The indicator measures the headcount and FTE of students enrolled in online courses and the number </w:t>
      </w:r>
      <w:r w:rsidR="00204499">
        <w:rPr>
          <w:rFonts w:cstheme="minorHAnsi"/>
          <w:bCs/>
        </w:rPr>
        <w:t xml:space="preserve">of </w:t>
      </w:r>
      <w:r w:rsidR="00216345">
        <w:rPr>
          <w:rFonts w:cstheme="minorHAnsi"/>
          <w:bCs/>
        </w:rPr>
        <w:t xml:space="preserve">credit courses and sections of each course. Currently, several disciplines offer most or all of their classes online, but at this time, COCC is not considering these as fully online programs because some of the required support courses may or may not be offered online. The Online Programs Action Team will help move the College towards its goal of developing fully online programs. </w:t>
      </w:r>
    </w:p>
    <w:p w14:paraId="21C046EC" w14:textId="77777777" w:rsidR="00FC6172" w:rsidRPr="000D7A58" w:rsidRDefault="00FC6172" w:rsidP="00FC6172">
      <w:pPr>
        <w:rPr>
          <w:rFonts w:cstheme="minorHAnsi"/>
          <w:bCs/>
        </w:rPr>
      </w:pPr>
    </w:p>
    <w:p w14:paraId="686D8E45" w14:textId="6AEF12B8" w:rsidR="00FC6172" w:rsidRPr="000D7A58" w:rsidRDefault="00FC6172" w:rsidP="00FC6172">
      <w:pPr>
        <w:rPr>
          <w:rFonts w:cstheme="minorHAnsi"/>
          <w:bCs/>
        </w:rPr>
      </w:pPr>
      <w:r w:rsidRPr="000D7A58">
        <w:rPr>
          <w:rFonts w:cstheme="minorHAnsi"/>
          <w:bCs/>
          <w:u w:val="single"/>
        </w:rPr>
        <w:t>Targets</w:t>
      </w:r>
      <w:r w:rsidRPr="000D7A58">
        <w:rPr>
          <w:rFonts w:cstheme="minorHAnsi"/>
          <w:bCs/>
        </w:rPr>
        <w:t xml:space="preserve">: Targets are based on the aggregation of the data noted above (headcount, FTE, courses, sections) as compared to the 2022-23 benchmark year. Numeric targets are set up in ranges that represent a settling or growth pattern over time (not counting pandemic years) even though a single year may swing upward or downward within the parameters listed in the table below. </w:t>
      </w:r>
    </w:p>
    <w:p w14:paraId="4DF7D24B" w14:textId="77777777" w:rsidR="00FC6172" w:rsidRPr="000D7A58" w:rsidRDefault="00FC6172" w:rsidP="00FC6172">
      <w:pPr>
        <w:rPr>
          <w:rFonts w:cstheme="minorHAnsi"/>
          <w:bCs/>
        </w:rPr>
      </w:pPr>
    </w:p>
    <w:tbl>
      <w:tblPr>
        <w:tblStyle w:val="TableGrid"/>
        <w:tblW w:w="9355" w:type="dxa"/>
        <w:tblLook w:val="04A0" w:firstRow="1" w:lastRow="0" w:firstColumn="1" w:lastColumn="0" w:noHBand="0" w:noVBand="1"/>
      </w:tblPr>
      <w:tblGrid>
        <w:gridCol w:w="2700"/>
        <w:gridCol w:w="1800"/>
        <w:gridCol w:w="1620"/>
        <w:gridCol w:w="1525"/>
        <w:gridCol w:w="1710"/>
      </w:tblGrid>
      <w:tr w:rsidR="00216345" w:rsidRPr="000D7A58" w14:paraId="3468E1D3" w14:textId="77777777" w:rsidTr="00216345">
        <w:trPr>
          <w:trHeight w:val="269"/>
        </w:trPr>
        <w:tc>
          <w:tcPr>
            <w:tcW w:w="2700" w:type="dxa"/>
            <w:tcBorders>
              <w:top w:val="nil"/>
              <w:left w:val="nil"/>
              <w:bottom w:val="nil"/>
              <w:right w:val="single" w:sz="4" w:space="0" w:color="auto"/>
            </w:tcBorders>
          </w:tcPr>
          <w:p w14:paraId="620EB550" w14:textId="77777777" w:rsidR="00216345" w:rsidRPr="000D7A58" w:rsidRDefault="00216345" w:rsidP="008F70A4">
            <w:pPr>
              <w:rPr>
                <w:rFonts w:cstheme="minorHAnsi"/>
                <w:bCs/>
              </w:rPr>
            </w:pPr>
          </w:p>
        </w:tc>
        <w:tc>
          <w:tcPr>
            <w:tcW w:w="6655" w:type="dxa"/>
            <w:gridSpan w:val="4"/>
            <w:tcBorders>
              <w:left w:val="single" w:sz="4" w:space="0" w:color="auto"/>
            </w:tcBorders>
          </w:tcPr>
          <w:p w14:paraId="04405E28" w14:textId="048B743F" w:rsidR="00216345" w:rsidRPr="000D7A58" w:rsidRDefault="00216345" w:rsidP="00216345">
            <w:pPr>
              <w:jc w:val="center"/>
              <w:rPr>
                <w:rFonts w:cstheme="minorHAnsi"/>
                <w:bCs/>
              </w:rPr>
            </w:pPr>
            <w:r>
              <w:rPr>
                <w:rFonts w:cstheme="minorHAnsi"/>
              </w:rPr>
              <w:t>Online Credit:</w:t>
            </w:r>
          </w:p>
        </w:tc>
      </w:tr>
      <w:tr w:rsidR="00FC6172" w:rsidRPr="000D7A58" w14:paraId="11463CA1" w14:textId="77777777" w:rsidTr="00DC7299">
        <w:trPr>
          <w:trHeight w:val="269"/>
        </w:trPr>
        <w:tc>
          <w:tcPr>
            <w:tcW w:w="2700" w:type="dxa"/>
            <w:tcBorders>
              <w:top w:val="nil"/>
              <w:left w:val="nil"/>
              <w:bottom w:val="double" w:sz="4" w:space="0" w:color="auto"/>
              <w:right w:val="single" w:sz="4" w:space="0" w:color="auto"/>
            </w:tcBorders>
          </w:tcPr>
          <w:p w14:paraId="374B704C" w14:textId="77777777" w:rsidR="00FC6172" w:rsidRPr="000D7A58" w:rsidRDefault="00FC6172" w:rsidP="008F70A4">
            <w:pPr>
              <w:rPr>
                <w:rFonts w:cstheme="minorHAnsi"/>
                <w:bCs/>
              </w:rPr>
            </w:pPr>
          </w:p>
        </w:tc>
        <w:tc>
          <w:tcPr>
            <w:tcW w:w="1800" w:type="dxa"/>
            <w:tcBorders>
              <w:left w:val="single" w:sz="4" w:space="0" w:color="auto"/>
              <w:bottom w:val="double" w:sz="4" w:space="0" w:color="auto"/>
            </w:tcBorders>
          </w:tcPr>
          <w:p w14:paraId="35F0FCF4" w14:textId="6E68FD30" w:rsidR="00FC6172" w:rsidRPr="00216345" w:rsidRDefault="00FC6172" w:rsidP="00216345">
            <w:pPr>
              <w:jc w:val="center"/>
              <w:rPr>
                <w:rFonts w:cstheme="minorHAnsi"/>
              </w:rPr>
            </w:pPr>
            <w:r w:rsidRPr="000D7A58">
              <w:rPr>
                <w:rFonts w:cstheme="minorHAnsi"/>
              </w:rPr>
              <w:t>Headcount</w:t>
            </w:r>
          </w:p>
        </w:tc>
        <w:tc>
          <w:tcPr>
            <w:tcW w:w="1620" w:type="dxa"/>
            <w:tcBorders>
              <w:bottom w:val="double" w:sz="4" w:space="0" w:color="auto"/>
            </w:tcBorders>
          </w:tcPr>
          <w:p w14:paraId="18393391" w14:textId="4CC5FACB" w:rsidR="00FC6172" w:rsidRPr="00216345" w:rsidRDefault="00FC6172" w:rsidP="00216345">
            <w:pPr>
              <w:jc w:val="center"/>
              <w:rPr>
                <w:highlight w:val="lightGray"/>
              </w:rPr>
            </w:pPr>
            <w:r w:rsidRPr="000D7A58">
              <w:t>FTE</w:t>
            </w:r>
          </w:p>
        </w:tc>
        <w:tc>
          <w:tcPr>
            <w:tcW w:w="1525" w:type="dxa"/>
            <w:tcBorders>
              <w:bottom w:val="double" w:sz="4" w:space="0" w:color="auto"/>
            </w:tcBorders>
          </w:tcPr>
          <w:p w14:paraId="62F9827D" w14:textId="62332E5D" w:rsidR="00FC6172" w:rsidRPr="00216345" w:rsidRDefault="00FC6172" w:rsidP="00216345">
            <w:pPr>
              <w:jc w:val="center"/>
              <w:rPr>
                <w:rFonts w:cstheme="minorHAnsi"/>
              </w:rPr>
            </w:pPr>
            <w:r w:rsidRPr="000D7A58">
              <w:rPr>
                <w:rFonts w:cstheme="minorHAnsi"/>
              </w:rPr>
              <w:t>Courses</w:t>
            </w:r>
          </w:p>
        </w:tc>
        <w:tc>
          <w:tcPr>
            <w:tcW w:w="1710" w:type="dxa"/>
            <w:tcBorders>
              <w:bottom w:val="double" w:sz="4" w:space="0" w:color="auto"/>
            </w:tcBorders>
          </w:tcPr>
          <w:p w14:paraId="190FE162" w14:textId="60867FD9" w:rsidR="00FC6172" w:rsidRPr="000D7A58" w:rsidRDefault="00FC6172" w:rsidP="00216345">
            <w:pPr>
              <w:jc w:val="center"/>
              <w:rPr>
                <w:rFonts w:cstheme="minorHAnsi"/>
                <w:bCs/>
              </w:rPr>
            </w:pPr>
            <w:r w:rsidRPr="000D7A58">
              <w:rPr>
                <w:rFonts w:cstheme="minorHAnsi"/>
                <w:bCs/>
              </w:rPr>
              <w:t>Course Sections</w:t>
            </w:r>
          </w:p>
        </w:tc>
      </w:tr>
      <w:tr w:rsidR="00FC6172" w:rsidRPr="000D7A58" w14:paraId="5CEB56E6" w14:textId="77777777" w:rsidTr="00DC7299">
        <w:tc>
          <w:tcPr>
            <w:tcW w:w="2700" w:type="dxa"/>
            <w:tcBorders>
              <w:top w:val="double" w:sz="4" w:space="0" w:color="auto"/>
            </w:tcBorders>
          </w:tcPr>
          <w:p w14:paraId="1D4A18EC" w14:textId="0BFBA6E0" w:rsidR="00FC6172" w:rsidRPr="000D7A58" w:rsidRDefault="00FC6172" w:rsidP="008F70A4">
            <w:r w:rsidRPr="000D7A58">
              <w:t>Met (3 of 4 criteria)</w:t>
            </w:r>
          </w:p>
        </w:tc>
        <w:tc>
          <w:tcPr>
            <w:tcW w:w="1800" w:type="dxa"/>
            <w:tcBorders>
              <w:top w:val="double" w:sz="4" w:space="0" w:color="auto"/>
            </w:tcBorders>
          </w:tcPr>
          <w:p w14:paraId="3EAAD93F" w14:textId="64390E09" w:rsidR="00FC6172" w:rsidRPr="000D7A58" w:rsidRDefault="00FC6172" w:rsidP="00216345">
            <w:pPr>
              <w:jc w:val="center"/>
            </w:pPr>
            <w:r w:rsidRPr="000D7A58">
              <w:t>2,994–3,304</w:t>
            </w:r>
          </w:p>
        </w:tc>
        <w:tc>
          <w:tcPr>
            <w:tcW w:w="1620" w:type="dxa"/>
            <w:tcBorders>
              <w:top w:val="double" w:sz="4" w:space="0" w:color="auto"/>
            </w:tcBorders>
          </w:tcPr>
          <w:p w14:paraId="3B5D129D" w14:textId="7BDC5FCF" w:rsidR="00FC6172" w:rsidRPr="000D7A58" w:rsidRDefault="00FC6172" w:rsidP="00216345">
            <w:pPr>
              <w:jc w:val="center"/>
            </w:pPr>
            <w:r w:rsidRPr="000D7A58">
              <w:t>760–1,100</w:t>
            </w:r>
          </w:p>
        </w:tc>
        <w:tc>
          <w:tcPr>
            <w:tcW w:w="1525" w:type="dxa"/>
            <w:tcBorders>
              <w:top w:val="double" w:sz="4" w:space="0" w:color="auto"/>
            </w:tcBorders>
          </w:tcPr>
          <w:p w14:paraId="7C9FEADF" w14:textId="505481A8" w:rsidR="00FC6172" w:rsidRPr="000D7A58" w:rsidRDefault="00FC6172" w:rsidP="00216345">
            <w:pPr>
              <w:jc w:val="center"/>
            </w:pPr>
            <w:r w:rsidRPr="000D7A58">
              <w:t>217–245</w:t>
            </w:r>
          </w:p>
        </w:tc>
        <w:tc>
          <w:tcPr>
            <w:tcW w:w="1710" w:type="dxa"/>
            <w:tcBorders>
              <w:top w:val="double" w:sz="4" w:space="0" w:color="auto"/>
            </w:tcBorders>
          </w:tcPr>
          <w:p w14:paraId="1E02650D" w14:textId="54FEF4CE" w:rsidR="00FC6172" w:rsidRPr="000D7A58" w:rsidRDefault="00FC6172" w:rsidP="00216345">
            <w:pPr>
              <w:jc w:val="center"/>
              <w:rPr>
                <w:rFonts w:cstheme="minorHAnsi"/>
                <w:bCs/>
              </w:rPr>
            </w:pPr>
            <w:r w:rsidRPr="000D7A58">
              <w:t>520–552</w:t>
            </w:r>
          </w:p>
        </w:tc>
      </w:tr>
      <w:tr w:rsidR="00FC6172" w:rsidRPr="000D7A58" w14:paraId="7AD3FB9B" w14:textId="77777777" w:rsidTr="00216345">
        <w:tc>
          <w:tcPr>
            <w:tcW w:w="2700" w:type="dxa"/>
          </w:tcPr>
          <w:p w14:paraId="4B7191B7" w14:textId="77777777" w:rsidR="00FC6172" w:rsidRPr="000D7A58" w:rsidRDefault="00FC6172" w:rsidP="008F70A4">
            <w:r w:rsidRPr="000D7A58">
              <w:t>Almost Met (2 of 4 criteria)</w:t>
            </w:r>
          </w:p>
        </w:tc>
        <w:tc>
          <w:tcPr>
            <w:tcW w:w="1800" w:type="dxa"/>
          </w:tcPr>
          <w:p w14:paraId="5EF0035A" w14:textId="54025674" w:rsidR="00FC6172" w:rsidRPr="000D7A58" w:rsidRDefault="00FC6172" w:rsidP="00216345">
            <w:pPr>
              <w:jc w:val="center"/>
            </w:pPr>
            <w:r w:rsidRPr="000D7A58">
              <w:t>2,501–2,499</w:t>
            </w:r>
          </w:p>
        </w:tc>
        <w:tc>
          <w:tcPr>
            <w:tcW w:w="1620" w:type="dxa"/>
          </w:tcPr>
          <w:p w14:paraId="38BD86C9" w14:textId="78BB9540" w:rsidR="00FC6172" w:rsidRPr="000D7A58" w:rsidRDefault="00FC6172" w:rsidP="00216345">
            <w:pPr>
              <w:jc w:val="center"/>
            </w:pPr>
            <w:r w:rsidRPr="000D7A58">
              <w:t>601–759</w:t>
            </w:r>
          </w:p>
        </w:tc>
        <w:tc>
          <w:tcPr>
            <w:tcW w:w="1525" w:type="dxa"/>
          </w:tcPr>
          <w:p w14:paraId="59E8A6DB" w14:textId="4F59B4C8" w:rsidR="00FC6172" w:rsidRPr="000D7A58" w:rsidRDefault="00FC6172" w:rsidP="00216345">
            <w:pPr>
              <w:jc w:val="center"/>
            </w:pPr>
            <w:r w:rsidRPr="000D7A58">
              <w:t>201–216</w:t>
            </w:r>
          </w:p>
        </w:tc>
        <w:tc>
          <w:tcPr>
            <w:tcW w:w="1710" w:type="dxa"/>
          </w:tcPr>
          <w:p w14:paraId="4D561798" w14:textId="3F79324D" w:rsidR="00FC6172" w:rsidRPr="000D7A58" w:rsidRDefault="00FC6172" w:rsidP="00216345">
            <w:pPr>
              <w:jc w:val="center"/>
              <w:rPr>
                <w:rFonts w:cstheme="minorHAnsi"/>
                <w:bCs/>
              </w:rPr>
            </w:pPr>
            <w:r w:rsidRPr="000D7A58">
              <w:t>498–519</w:t>
            </w:r>
          </w:p>
        </w:tc>
      </w:tr>
      <w:tr w:rsidR="00FC6172" w:rsidRPr="000D7A58" w14:paraId="6CA154C8" w14:textId="77777777" w:rsidTr="00216345">
        <w:tc>
          <w:tcPr>
            <w:tcW w:w="2700" w:type="dxa"/>
          </w:tcPr>
          <w:p w14:paraId="31685DE6" w14:textId="77777777" w:rsidR="00FC6172" w:rsidRPr="000D7A58" w:rsidRDefault="00FC6172" w:rsidP="008F70A4">
            <w:r w:rsidRPr="000D7A58">
              <w:t>Not Met (0 or 1 criterion)</w:t>
            </w:r>
          </w:p>
        </w:tc>
        <w:tc>
          <w:tcPr>
            <w:tcW w:w="1800" w:type="dxa"/>
          </w:tcPr>
          <w:p w14:paraId="0BE70C50" w14:textId="7AB7C75E" w:rsidR="00FC6172" w:rsidRPr="000D7A58" w:rsidRDefault="00FC6172" w:rsidP="00216345">
            <w:pPr>
              <w:jc w:val="center"/>
            </w:pPr>
            <w:r w:rsidRPr="000D7A58">
              <w:t>2,500</w:t>
            </w:r>
            <w:r w:rsidR="00F4130E" w:rsidRPr="000D7A58">
              <w:t xml:space="preserve"> or fewer</w:t>
            </w:r>
          </w:p>
        </w:tc>
        <w:tc>
          <w:tcPr>
            <w:tcW w:w="1620" w:type="dxa"/>
          </w:tcPr>
          <w:p w14:paraId="39CFFEAD" w14:textId="15E7440F" w:rsidR="00FC6172" w:rsidRPr="000D7A58" w:rsidRDefault="00FC6172" w:rsidP="00216345">
            <w:pPr>
              <w:jc w:val="center"/>
            </w:pPr>
            <w:r w:rsidRPr="000D7A58">
              <w:t>600</w:t>
            </w:r>
            <w:r w:rsidR="00F4130E" w:rsidRPr="000D7A58">
              <w:t xml:space="preserve"> or fewer</w:t>
            </w:r>
          </w:p>
        </w:tc>
        <w:tc>
          <w:tcPr>
            <w:tcW w:w="1525" w:type="dxa"/>
          </w:tcPr>
          <w:p w14:paraId="7B6A13BA" w14:textId="315FCBB9" w:rsidR="00FC6172" w:rsidRPr="000D7A58" w:rsidRDefault="00FC6172" w:rsidP="00216345">
            <w:pPr>
              <w:jc w:val="center"/>
            </w:pPr>
            <w:r w:rsidRPr="000D7A58">
              <w:t>200</w:t>
            </w:r>
            <w:r w:rsidR="00F4130E" w:rsidRPr="000D7A58">
              <w:t xml:space="preserve"> or fewer</w:t>
            </w:r>
          </w:p>
        </w:tc>
        <w:tc>
          <w:tcPr>
            <w:tcW w:w="1710" w:type="dxa"/>
          </w:tcPr>
          <w:p w14:paraId="2F83C174" w14:textId="7D0E870C" w:rsidR="00FC6172" w:rsidRPr="000D7A58" w:rsidRDefault="00FC6172" w:rsidP="00216345">
            <w:pPr>
              <w:jc w:val="center"/>
              <w:rPr>
                <w:rFonts w:cstheme="minorHAnsi"/>
                <w:bCs/>
              </w:rPr>
            </w:pPr>
            <w:r w:rsidRPr="000D7A58">
              <w:t>497</w:t>
            </w:r>
            <w:r w:rsidR="00F4130E" w:rsidRPr="000D7A58">
              <w:t xml:space="preserve"> or fewer</w:t>
            </w:r>
          </w:p>
        </w:tc>
      </w:tr>
    </w:tbl>
    <w:p w14:paraId="21CE4BC8" w14:textId="5D946246" w:rsidR="009E1826" w:rsidRDefault="009E1826" w:rsidP="009E1826">
      <w:pPr>
        <w:rPr>
          <w:rFonts w:cstheme="minorHAnsi"/>
          <w:bCs/>
        </w:rPr>
      </w:pPr>
    </w:p>
    <w:p w14:paraId="208AEF3F" w14:textId="5DE132CF" w:rsidR="00216345" w:rsidRDefault="00216345" w:rsidP="009E1826">
      <w:pPr>
        <w:rPr>
          <w:rFonts w:cstheme="minorHAnsi"/>
          <w:bCs/>
        </w:rPr>
      </w:pPr>
      <w:r w:rsidRPr="00216345">
        <w:rPr>
          <w:rFonts w:cstheme="minorHAnsi"/>
          <w:bCs/>
          <w:u w:val="single"/>
        </w:rPr>
        <w:t>Peer Institutions</w:t>
      </w:r>
      <w:r>
        <w:rPr>
          <w:rFonts w:cstheme="minorHAnsi"/>
          <w:bCs/>
        </w:rPr>
        <w:t xml:space="preserve">: Institutions have varying philosophies regarding online courses and programs and no regional or national standard exists; it is truly unique to each institution. </w:t>
      </w:r>
      <w:r w:rsidR="00204499">
        <w:rPr>
          <w:rFonts w:cstheme="minorHAnsi"/>
          <w:bCs/>
        </w:rPr>
        <w:t>Thus,</w:t>
      </w:r>
      <w:r>
        <w:rPr>
          <w:rFonts w:cstheme="minorHAnsi"/>
          <w:bCs/>
        </w:rPr>
        <w:t xml:space="preserve"> comparator institution data is not available.</w:t>
      </w:r>
    </w:p>
    <w:p w14:paraId="6D84F27C" w14:textId="77777777" w:rsidR="00216345" w:rsidRPr="000D7A58" w:rsidRDefault="00216345" w:rsidP="009E1826">
      <w:pPr>
        <w:rPr>
          <w:rFonts w:cstheme="minorHAnsi"/>
          <w:bCs/>
        </w:rPr>
      </w:pPr>
    </w:p>
    <w:p w14:paraId="457D2F33" w14:textId="236725F6" w:rsidR="00216345" w:rsidRDefault="00216345" w:rsidP="009E1826">
      <w:pPr>
        <w:rPr>
          <w:rFonts w:cstheme="minorHAnsi"/>
          <w:bCs/>
        </w:rPr>
      </w:pPr>
      <w:r w:rsidRPr="00216345">
        <w:rPr>
          <w:rFonts w:cstheme="minorHAnsi"/>
          <w:bCs/>
          <w:u w:val="single"/>
        </w:rPr>
        <w:t>Progress</w:t>
      </w:r>
      <w:r>
        <w:rPr>
          <w:rFonts w:cstheme="minorHAnsi"/>
          <w:bCs/>
        </w:rPr>
        <w:t>: Progress towards this indicator will depend greatly on the work of the Online Program Action Team. Currently, their work is focused on identifying the infrastructure and supports needed to offer quality online offerings, noting that a Project Manager was assigned in late spring to move this wor</w:t>
      </w:r>
      <w:r w:rsidR="00E9204F">
        <w:rPr>
          <w:rFonts w:cstheme="minorHAnsi"/>
          <w:bCs/>
        </w:rPr>
        <w:t xml:space="preserve">k </w:t>
      </w:r>
      <w:r>
        <w:rPr>
          <w:rFonts w:cstheme="minorHAnsi"/>
          <w:bCs/>
        </w:rPr>
        <w:t>forward. Regardless, for 2024-25, COCC met all targets for each of these indicators:</w:t>
      </w:r>
    </w:p>
    <w:p w14:paraId="35688019" w14:textId="050710D5" w:rsidR="00216345" w:rsidRDefault="00216345" w:rsidP="009E1826">
      <w:pPr>
        <w:rPr>
          <w:rFonts w:cstheme="minorHAnsi"/>
          <w:bCs/>
        </w:rPr>
      </w:pPr>
    </w:p>
    <w:tbl>
      <w:tblPr>
        <w:tblStyle w:val="TableGrid"/>
        <w:tblW w:w="0" w:type="auto"/>
        <w:tblLook w:val="04A0" w:firstRow="1" w:lastRow="0" w:firstColumn="1" w:lastColumn="0" w:noHBand="0" w:noVBand="1"/>
      </w:tblPr>
      <w:tblGrid>
        <w:gridCol w:w="2785"/>
        <w:gridCol w:w="1710"/>
        <w:gridCol w:w="1800"/>
      </w:tblGrid>
      <w:tr w:rsidR="00216345" w14:paraId="568D5CD0" w14:textId="77777777" w:rsidTr="001E665F">
        <w:tc>
          <w:tcPr>
            <w:tcW w:w="2785" w:type="dxa"/>
            <w:tcBorders>
              <w:top w:val="single" w:sz="4" w:space="0" w:color="auto"/>
              <w:left w:val="single" w:sz="4" w:space="0" w:color="auto"/>
              <w:bottom w:val="single" w:sz="4" w:space="0" w:color="auto"/>
              <w:right w:val="single" w:sz="4" w:space="0" w:color="auto"/>
            </w:tcBorders>
          </w:tcPr>
          <w:p w14:paraId="44D70278" w14:textId="0EB02D6A" w:rsidR="00216345" w:rsidRPr="000D7A58" w:rsidRDefault="00C32A06" w:rsidP="00216345">
            <w:pPr>
              <w:rPr>
                <w:rFonts w:cstheme="minorHAnsi"/>
              </w:rPr>
            </w:pPr>
            <w:r>
              <w:rPr>
                <w:rFonts w:cstheme="minorHAnsi"/>
              </w:rPr>
              <w:t>Online Credit:</w:t>
            </w:r>
          </w:p>
        </w:tc>
        <w:tc>
          <w:tcPr>
            <w:tcW w:w="1710" w:type="dxa"/>
            <w:tcBorders>
              <w:left w:val="single" w:sz="4" w:space="0" w:color="auto"/>
            </w:tcBorders>
          </w:tcPr>
          <w:p w14:paraId="07869DF9" w14:textId="533097D6" w:rsidR="00216345" w:rsidRDefault="00216345" w:rsidP="00216345">
            <w:pPr>
              <w:jc w:val="center"/>
              <w:rPr>
                <w:rFonts w:cstheme="minorHAnsi"/>
                <w:bCs/>
              </w:rPr>
            </w:pPr>
            <w:r>
              <w:rPr>
                <w:rFonts w:cstheme="minorHAnsi"/>
                <w:bCs/>
              </w:rPr>
              <w:t>Target</w:t>
            </w:r>
          </w:p>
        </w:tc>
        <w:tc>
          <w:tcPr>
            <w:tcW w:w="1800" w:type="dxa"/>
          </w:tcPr>
          <w:p w14:paraId="52670DE8" w14:textId="2E57008C" w:rsidR="00216345" w:rsidRDefault="00216345" w:rsidP="00216345">
            <w:pPr>
              <w:jc w:val="center"/>
              <w:rPr>
                <w:rFonts w:cstheme="minorHAnsi"/>
                <w:bCs/>
              </w:rPr>
            </w:pPr>
            <w:r>
              <w:rPr>
                <w:rFonts w:cstheme="minorHAnsi"/>
                <w:bCs/>
              </w:rPr>
              <w:t>2024-25 Actual</w:t>
            </w:r>
          </w:p>
        </w:tc>
      </w:tr>
      <w:tr w:rsidR="00216345" w14:paraId="38EFEB0A" w14:textId="77777777" w:rsidTr="001E665F">
        <w:tc>
          <w:tcPr>
            <w:tcW w:w="2785" w:type="dxa"/>
            <w:tcBorders>
              <w:top w:val="single" w:sz="4" w:space="0" w:color="auto"/>
            </w:tcBorders>
          </w:tcPr>
          <w:p w14:paraId="727BD63E" w14:textId="6482DA49" w:rsidR="00216345" w:rsidRDefault="00216345" w:rsidP="00C32A06">
            <w:pPr>
              <w:ind w:left="337"/>
              <w:rPr>
                <w:rFonts w:cstheme="minorHAnsi"/>
                <w:bCs/>
              </w:rPr>
            </w:pPr>
            <w:r w:rsidRPr="000D7A58">
              <w:rPr>
                <w:rFonts w:cstheme="minorHAnsi"/>
              </w:rPr>
              <w:t>Headcount</w:t>
            </w:r>
            <w:r w:rsidR="001E665F">
              <w:rPr>
                <w:rFonts w:cstheme="minorHAnsi"/>
              </w:rPr>
              <w:t xml:space="preserve"> (preliminary)</w:t>
            </w:r>
          </w:p>
        </w:tc>
        <w:tc>
          <w:tcPr>
            <w:tcW w:w="1710" w:type="dxa"/>
          </w:tcPr>
          <w:p w14:paraId="13D6ED3B" w14:textId="124B8775" w:rsidR="00216345" w:rsidRDefault="00216345" w:rsidP="00216345">
            <w:pPr>
              <w:jc w:val="center"/>
              <w:rPr>
                <w:rFonts w:cstheme="minorHAnsi"/>
                <w:bCs/>
              </w:rPr>
            </w:pPr>
            <w:r w:rsidRPr="000D7A58">
              <w:t>2,994–3,304</w:t>
            </w:r>
          </w:p>
        </w:tc>
        <w:tc>
          <w:tcPr>
            <w:tcW w:w="1800" w:type="dxa"/>
          </w:tcPr>
          <w:p w14:paraId="3757A8B5" w14:textId="520F73BA" w:rsidR="00216345" w:rsidRDefault="00216345" w:rsidP="00216345">
            <w:pPr>
              <w:jc w:val="center"/>
              <w:rPr>
                <w:rFonts w:cstheme="minorHAnsi"/>
                <w:bCs/>
              </w:rPr>
            </w:pPr>
            <w:r>
              <w:rPr>
                <w:rFonts w:cstheme="minorHAnsi"/>
                <w:bCs/>
              </w:rPr>
              <w:t>3,474</w:t>
            </w:r>
          </w:p>
        </w:tc>
      </w:tr>
      <w:tr w:rsidR="00216345" w14:paraId="20CC89BA" w14:textId="77777777" w:rsidTr="001E665F">
        <w:tc>
          <w:tcPr>
            <w:tcW w:w="2785" w:type="dxa"/>
          </w:tcPr>
          <w:p w14:paraId="6718BCD1" w14:textId="4A7F74BA" w:rsidR="00216345" w:rsidRDefault="00216345" w:rsidP="00C32A06">
            <w:pPr>
              <w:ind w:left="337"/>
              <w:rPr>
                <w:rFonts w:cstheme="minorHAnsi"/>
                <w:bCs/>
              </w:rPr>
            </w:pPr>
            <w:r w:rsidRPr="000D7A58">
              <w:t>FTE</w:t>
            </w:r>
            <w:r w:rsidR="001E665F">
              <w:t xml:space="preserve"> (preliminary</w:t>
            </w:r>
          </w:p>
        </w:tc>
        <w:tc>
          <w:tcPr>
            <w:tcW w:w="1710" w:type="dxa"/>
          </w:tcPr>
          <w:p w14:paraId="3B108421" w14:textId="69638EE1" w:rsidR="00216345" w:rsidRDefault="00216345" w:rsidP="00216345">
            <w:pPr>
              <w:jc w:val="center"/>
              <w:rPr>
                <w:rFonts w:cstheme="minorHAnsi"/>
                <w:bCs/>
              </w:rPr>
            </w:pPr>
            <w:r w:rsidRPr="000D7A58">
              <w:t>760–1,100</w:t>
            </w:r>
          </w:p>
        </w:tc>
        <w:tc>
          <w:tcPr>
            <w:tcW w:w="1800" w:type="dxa"/>
          </w:tcPr>
          <w:p w14:paraId="03A9B68A" w14:textId="33FA12A7" w:rsidR="00216345" w:rsidRDefault="00216345" w:rsidP="00216345">
            <w:pPr>
              <w:jc w:val="center"/>
              <w:rPr>
                <w:rFonts w:cstheme="minorHAnsi"/>
                <w:bCs/>
              </w:rPr>
            </w:pPr>
            <w:r>
              <w:rPr>
                <w:rFonts w:cstheme="minorHAnsi"/>
                <w:bCs/>
              </w:rPr>
              <w:t>1,091</w:t>
            </w:r>
          </w:p>
        </w:tc>
      </w:tr>
      <w:tr w:rsidR="00216345" w14:paraId="0EF1D3F3" w14:textId="77777777" w:rsidTr="001E665F">
        <w:tc>
          <w:tcPr>
            <w:tcW w:w="2785" w:type="dxa"/>
          </w:tcPr>
          <w:p w14:paraId="61CC63E2" w14:textId="156637BA" w:rsidR="00216345" w:rsidRDefault="00216345" w:rsidP="00C32A06">
            <w:pPr>
              <w:ind w:left="337"/>
              <w:rPr>
                <w:rFonts w:cstheme="minorHAnsi"/>
                <w:bCs/>
              </w:rPr>
            </w:pPr>
            <w:r w:rsidRPr="000D7A58">
              <w:rPr>
                <w:rFonts w:cstheme="minorHAnsi"/>
              </w:rPr>
              <w:t>Courses</w:t>
            </w:r>
          </w:p>
        </w:tc>
        <w:tc>
          <w:tcPr>
            <w:tcW w:w="1710" w:type="dxa"/>
          </w:tcPr>
          <w:p w14:paraId="7920C198" w14:textId="2A91DE2C" w:rsidR="00216345" w:rsidRDefault="00216345" w:rsidP="00216345">
            <w:pPr>
              <w:jc w:val="center"/>
              <w:rPr>
                <w:rFonts w:cstheme="minorHAnsi"/>
                <w:bCs/>
              </w:rPr>
            </w:pPr>
            <w:r w:rsidRPr="000D7A58">
              <w:t>217–245</w:t>
            </w:r>
          </w:p>
        </w:tc>
        <w:tc>
          <w:tcPr>
            <w:tcW w:w="1800" w:type="dxa"/>
          </w:tcPr>
          <w:p w14:paraId="78AFE504" w14:textId="5294932D" w:rsidR="00216345" w:rsidRDefault="00216345" w:rsidP="00216345">
            <w:pPr>
              <w:jc w:val="center"/>
              <w:rPr>
                <w:rFonts w:cstheme="minorHAnsi"/>
                <w:bCs/>
              </w:rPr>
            </w:pPr>
            <w:r>
              <w:rPr>
                <w:rFonts w:cstheme="minorHAnsi"/>
                <w:bCs/>
              </w:rPr>
              <w:t>262</w:t>
            </w:r>
          </w:p>
        </w:tc>
      </w:tr>
      <w:tr w:rsidR="00216345" w14:paraId="3E7EBBA1" w14:textId="77777777" w:rsidTr="001E665F">
        <w:tc>
          <w:tcPr>
            <w:tcW w:w="2785" w:type="dxa"/>
          </w:tcPr>
          <w:p w14:paraId="6E5CD0BD" w14:textId="4CA246B6" w:rsidR="00216345" w:rsidRDefault="00216345" w:rsidP="00C32A06">
            <w:pPr>
              <w:ind w:left="337"/>
              <w:rPr>
                <w:rFonts w:cstheme="minorHAnsi"/>
                <w:bCs/>
              </w:rPr>
            </w:pPr>
            <w:r w:rsidRPr="000D7A58">
              <w:rPr>
                <w:rFonts w:cstheme="minorHAnsi"/>
                <w:bCs/>
              </w:rPr>
              <w:t>Course Sections</w:t>
            </w:r>
          </w:p>
        </w:tc>
        <w:tc>
          <w:tcPr>
            <w:tcW w:w="1710" w:type="dxa"/>
          </w:tcPr>
          <w:p w14:paraId="79C0DD17" w14:textId="6EDFADDE" w:rsidR="00216345" w:rsidRDefault="00216345" w:rsidP="00216345">
            <w:pPr>
              <w:jc w:val="center"/>
              <w:rPr>
                <w:rFonts w:cstheme="minorHAnsi"/>
                <w:bCs/>
              </w:rPr>
            </w:pPr>
            <w:r w:rsidRPr="000D7A58">
              <w:t>520–552</w:t>
            </w:r>
          </w:p>
        </w:tc>
        <w:tc>
          <w:tcPr>
            <w:tcW w:w="1800" w:type="dxa"/>
          </w:tcPr>
          <w:p w14:paraId="76EEB410" w14:textId="67EF21B0" w:rsidR="00216345" w:rsidRDefault="00216345" w:rsidP="00216345">
            <w:pPr>
              <w:jc w:val="center"/>
              <w:rPr>
                <w:rFonts w:cstheme="minorHAnsi"/>
                <w:bCs/>
              </w:rPr>
            </w:pPr>
            <w:r>
              <w:rPr>
                <w:rFonts w:cstheme="minorHAnsi"/>
                <w:bCs/>
              </w:rPr>
              <w:t>597</w:t>
            </w:r>
          </w:p>
        </w:tc>
      </w:tr>
    </w:tbl>
    <w:p w14:paraId="7B1D80D6" w14:textId="77777777" w:rsidR="00216345" w:rsidRDefault="00216345" w:rsidP="009E1826">
      <w:pPr>
        <w:rPr>
          <w:rFonts w:cstheme="minorHAnsi"/>
          <w:bCs/>
        </w:rPr>
      </w:pPr>
    </w:p>
    <w:p w14:paraId="396B0CCE" w14:textId="665E6008" w:rsidR="00C94D7B" w:rsidRPr="000D7A58" w:rsidRDefault="009E1826" w:rsidP="009E1826">
      <w:pPr>
        <w:shd w:val="clear" w:color="auto" w:fill="B4C6E7" w:themeFill="accent5" w:themeFillTint="66"/>
        <w:rPr>
          <w:rFonts w:cstheme="minorHAnsi"/>
          <w:b/>
          <w:bCs/>
        </w:rPr>
      </w:pPr>
      <w:r w:rsidRPr="000D7A58">
        <w:rPr>
          <w:rFonts w:cstheme="minorHAnsi"/>
          <w:b/>
          <w:bCs/>
        </w:rPr>
        <w:t>GOAL - COMMUNITY ENGAGEMENT: COCC engages with and responds to the needs of the communities we serve.</w:t>
      </w:r>
    </w:p>
    <w:p w14:paraId="5B57D48A" w14:textId="77777777" w:rsidR="00D85FC4" w:rsidRPr="000D7A58" w:rsidRDefault="00D85FC4" w:rsidP="00D85FC4">
      <w:pPr>
        <w:tabs>
          <w:tab w:val="right" w:pos="9360"/>
        </w:tabs>
        <w:rPr>
          <w:rFonts w:cstheme="minorHAnsi"/>
          <w:b/>
        </w:rPr>
      </w:pPr>
    </w:p>
    <w:p w14:paraId="72F3A2DC" w14:textId="53396155"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College-Sponsored Events</w:t>
      </w:r>
      <w:r w:rsidRPr="000D7A58">
        <w:rPr>
          <w:rFonts w:cstheme="minorHAnsi"/>
          <w:b/>
        </w:rPr>
        <w:tab/>
        <w:t>Zak Boone</w:t>
      </w:r>
    </w:p>
    <w:p w14:paraId="07BBBF79" w14:textId="77777777" w:rsidR="009E1826" w:rsidRPr="000D7A58" w:rsidRDefault="009E1826" w:rsidP="009E1826">
      <w:pPr>
        <w:rPr>
          <w:rFonts w:cstheme="minorHAnsi"/>
          <w:bCs/>
        </w:rPr>
      </w:pPr>
    </w:p>
    <w:p w14:paraId="48AD27A6" w14:textId="0BE542E1" w:rsidR="009E1826" w:rsidRPr="000D7A58" w:rsidRDefault="009E1826" w:rsidP="009E1826">
      <w:pPr>
        <w:rPr>
          <w:rFonts w:cstheme="minorHAnsi"/>
          <w:bCs/>
        </w:rPr>
      </w:pPr>
      <w:r w:rsidRPr="000D7A58">
        <w:rPr>
          <w:rFonts w:cstheme="minorHAnsi"/>
          <w:bCs/>
          <w:u w:val="single"/>
        </w:rPr>
        <w:t>Rationale for Indicator</w:t>
      </w:r>
      <w:r w:rsidR="00B10939" w:rsidRPr="000D7A58">
        <w:rPr>
          <w:rFonts w:cstheme="minorHAnsi"/>
          <w:bCs/>
        </w:rPr>
        <w:t xml:space="preserve">: </w:t>
      </w:r>
      <w:r w:rsidR="00B10939" w:rsidRPr="000D7A58">
        <w:t xml:space="preserve">This indicator demonstrates the </w:t>
      </w:r>
      <w:r w:rsidR="00F279D5" w:rsidRPr="000D7A58">
        <w:t>C</w:t>
      </w:r>
      <w:r w:rsidR="00B10939" w:rsidRPr="000D7A58">
        <w:t>ollege’s commitment to providing the communities we serve with a variety of relevant and engaging opportunities to participate in events.</w:t>
      </w:r>
    </w:p>
    <w:p w14:paraId="35D6E8F7" w14:textId="77777777" w:rsidR="009E1826" w:rsidRPr="000D7A58" w:rsidRDefault="009E1826" w:rsidP="009E1826">
      <w:pPr>
        <w:rPr>
          <w:rFonts w:cstheme="minorHAnsi"/>
          <w:bCs/>
          <w:u w:val="single"/>
        </w:rPr>
      </w:pPr>
    </w:p>
    <w:p w14:paraId="10B42785" w14:textId="05CCB133" w:rsidR="009E1826" w:rsidRPr="000D7A58" w:rsidRDefault="009E1826" w:rsidP="009E1826">
      <w:pPr>
        <w:rPr>
          <w:rFonts w:cstheme="minorHAnsi"/>
          <w:bCs/>
        </w:rPr>
      </w:pPr>
      <w:r w:rsidRPr="000D7A58">
        <w:rPr>
          <w:rFonts w:cstheme="minorHAnsi"/>
          <w:bCs/>
          <w:u w:val="single"/>
        </w:rPr>
        <w:t>Definition</w:t>
      </w:r>
      <w:r w:rsidR="00B10939" w:rsidRPr="000D7A58">
        <w:rPr>
          <w:rFonts w:cstheme="minorHAnsi"/>
          <w:bCs/>
        </w:rPr>
        <w:t xml:space="preserve">: </w:t>
      </w:r>
      <w:r w:rsidR="00F279D5" w:rsidRPr="000D7A58">
        <w:t>“College-Sponsored Events” includes the</w:t>
      </w:r>
      <w:r w:rsidR="00B10939" w:rsidRPr="000D7A58">
        <w:t xml:space="preserve"> number of events outside of traditional instructional offerings and includes any activity formally sponsored or endorsed by the </w:t>
      </w:r>
      <w:r w:rsidR="00F279D5" w:rsidRPr="000D7A58">
        <w:t>C</w:t>
      </w:r>
      <w:r w:rsidR="00B10939" w:rsidRPr="000D7A58">
        <w:t xml:space="preserve">ollege where at least some of the intended participants are </w:t>
      </w:r>
      <w:r w:rsidR="00842CD2">
        <w:t>community members</w:t>
      </w:r>
      <w:r w:rsidR="00B10939" w:rsidRPr="000D7A58">
        <w:t>.</w:t>
      </w:r>
    </w:p>
    <w:p w14:paraId="6A5CE059" w14:textId="77777777" w:rsidR="009E1826" w:rsidRPr="000D7A58" w:rsidRDefault="009E1826" w:rsidP="009E1826">
      <w:pPr>
        <w:rPr>
          <w:rFonts w:cstheme="minorHAnsi"/>
          <w:bCs/>
        </w:rPr>
      </w:pPr>
    </w:p>
    <w:p w14:paraId="7ED151AD" w14:textId="5B9E179E" w:rsidR="00B10939" w:rsidRPr="000D7A58" w:rsidRDefault="009E1826" w:rsidP="00B10939">
      <w:r w:rsidRPr="000D7A58">
        <w:rPr>
          <w:rFonts w:cstheme="minorHAnsi"/>
          <w:bCs/>
          <w:u w:val="single"/>
        </w:rPr>
        <w:t>Targets</w:t>
      </w:r>
      <w:r w:rsidR="00B10939" w:rsidRPr="000D7A58">
        <w:rPr>
          <w:rFonts w:cstheme="minorHAnsi"/>
          <w:bCs/>
        </w:rPr>
        <w:t xml:space="preserve">: </w:t>
      </w:r>
      <w:r w:rsidR="00F279D5" w:rsidRPr="000D7A58">
        <w:t>COCC</w:t>
      </w:r>
      <w:r w:rsidR="00B10939" w:rsidRPr="000D7A58">
        <w:t xml:space="preserve"> recognize</w:t>
      </w:r>
      <w:r w:rsidR="00F279D5" w:rsidRPr="000D7A58">
        <w:t>s</w:t>
      </w:r>
      <w:r w:rsidR="00B10939" w:rsidRPr="000D7A58">
        <w:t xml:space="preserve"> that producing events often takes significant time, energy and human resources to execute. Thus, the annual targets represent a modest growth over the life of the strategic plan. </w:t>
      </w:r>
    </w:p>
    <w:p w14:paraId="10117703" w14:textId="090F7A85" w:rsidR="00B10939" w:rsidRPr="000D7A58" w:rsidRDefault="00B10939" w:rsidP="00B10939"/>
    <w:tbl>
      <w:tblPr>
        <w:tblStyle w:val="TableGrid"/>
        <w:tblW w:w="0" w:type="auto"/>
        <w:tblLook w:val="04A0" w:firstRow="1" w:lastRow="0" w:firstColumn="1" w:lastColumn="0" w:noHBand="0" w:noVBand="1"/>
      </w:tblPr>
      <w:tblGrid>
        <w:gridCol w:w="1615"/>
        <w:gridCol w:w="1800"/>
        <w:gridCol w:w="2070"/>
        <w:gridCol w:w="1980"/>
        <w:gridCol w:w="1885"/>
      </w:tblGrid>
      <w:tr w:rsidR="00B10939" w:rsidRPr="000D7A58" w14:paraId="556D3EDE" w14:textId="77777777" w:rsidTr="008F70A4">
        <w:tc>
          <w:tcPr>
            <w:tcW w:w="1615" w:type="dxa"/>
            <w:tcBorders>
              <w:bottom w:val="double" w:sz="4" w:space="0" w:color="auto"/>
            </w:tcBorders>
          </w:tcPr>
          <w:p w14:paraId="22B10EA2" w14:textId="77777777" w:rsidR="00B10939" w:rsidRPr="000D7A58" w:rsidRDefault="00B10939" w:rsidP="008F70A4">
            <w:pPr>
              <w:rPr>
                <w:rFonts w:cstheme="minorHAnsi"/>
                <w:bCs/>
              </w:rPr>
            </w:pPr>
          </w:p>
        </w:tc>
        <w:tc>
          <w:tcPr>
            <w:tcW w:w="1800" w:type="dxa"/>
            <w:tcBorders>
              <w:bottom w:val="double" w:sz="4" w:space="0" w:color="auto"/>
            </w:tcBorders>
          </w:tcPr>
          <w:p w14:paraId="7D8B127F" w14:textId="77777777" w:rsidR="00B10939" w:rsidRPr="000D7A58" w:rsidRDefault="00B10939" w:rsidP="00C65FEF">
            <w:pPr>
              <w:jc w:val="center"/>
              <w:rPr>
                <w:rFonts w:cstheme="minorHAnsi"/>
                <w:bCs/>
              </w:rPr>
            </w:pPr>
            <w:r w:rsidRPr="000D7A58">
              <w:rPr>
                <w:rFonts w:cstheme="minorHAnsi"/>
                <w:bCs/>
              </w:rPr>
              <w:t>2023-24</w:t>
            </w:r>
          </w:p>
        </w:tc>
        <w:tc>
          <w:tcPr>
            <w:tcW w:w="2070" w:type="dxa"/>
            <w:tcBorders>
              <w:bottom w:val="double" w:sz="4" w:space="0" w:color="auto"/>
            </w:tcBorders>
          </w:tcPr>
          <w:p w14:paraId="5B519470" w14:textId="77777777" w:rsidR="00B10939" w:rsidRPr="000D7A58" w:rsidRDefault="00B10939" w:rsidP="00C65FEF">
            <w:pPr>
              <w:jc w:val="center"/>
              <w:rPr>
                <w:rFonts w:cstheme="minorHAnsi"/>
                <w:bCs/>
              </w:rPr>
            </w:pPr>
            <w:r w:rsidRPr="000D7A58">
              <w:rPr>
                <w:rFonts w:cstheme="minorHAnsi"/>
                <w:bCs/>
              </w:rPr>
              <w:t>2024-25</w:t>
            </w:r>
          </w:p>
        </w:tc>
        <w:tc>
          <w:tcPr>
            <w:tcW w:w="1980" w:type="dxa"/>
            <w:tcBorders>
              <w:bottom w:val="double" w:sz="4" w:space="0" w:color="auto"/>
            </w:tcBorders>
          </w:tcPr>
          <w:p w14:paraId="63B861BB" w14:textId="77777777" w:rsidR="00B10939" w:rsidRPr="000D7A58" w:rsidRDefault="00B10939" w:rsidP="00C65FEF">
            <w:pPr>
              <w:jc w:val="center"/>
              <w:rPr>
                <w:rFonts w:cstheme="minorHAnsi"/>
                <w:bCs/>
              </w:rPr>
            </w:pPr>
            <w:r w:rsidRPr="000D7A58">
              <w:rPr>
                <w:rFonts w:cstheme="minorHAnsi"/>
                <w:bCs/>
              </w:rPr>
              <w:t>2025-26</w:t>
            </w:r>
          </w:p>
        </w:tc>
        <w:tc>
          <w:tcPr>
            <w:tcW w:w="1885" w:type="dxa"/>
            <w:tcBorders>
              <w:bottom w:val="double" w:sz="4" w:space="0" w:color="auto"/>
            </w:tcBorders>
          </w:tcPr>
          <w:p w14:paraId="338A22FE" w14:textId="77777777" w:rsidR="00B10939" w:rsidRPr="000D7A58" w:rsidRDefault="00B10939" w:rsidP="00C65FEF">
            <w:pPr>
              <w:jc w:val="center"/>
              <w:rPr>
                <w:rFonts w:cstheme="minorHAnsi"/>
                <w:bCs/>
              </w:rPr>
            </w:pPr>
            <w:r w:rsidRPr="000D7A58">
              <w:rPr>
                <w:rFonts w:cstheme="minorHAnsi"/>
                <w:bCs/>
              </w:rPr>
              <w:t>2026-27</w:t>
            </w:r>
          </w:p>
        </w:tc>
      </w:tr>
      <w:tr w:rsidR="00B10939" w:rsidRPr="000D7A58" w14:paraId="2F68D80F" w14:textId="77777777" w:rsidTr="008F70A4">
        <w:tc>
          <w:tcPr>
            <w:tcW w:w="1615" w:type="dxa"/>
            <w:tcBorders>
              <w:top w:val="double" w:sz="4" w:space="0" w:color="auto"/>
            </w:tcBorders>
          </w:tcPr>
          <w:p w14:paraId="4F4A7C4C" w14:textId="1C171D20" w:rsidR="00B10939" w:rsidRPr="000D7A58" w:rsidRDefault="00B10939" w:rsidP="008F70A4">
            <w:r w:rsidRPr="000D7A58">
              <w:t>Met</w:t>
            </w:r>
          </w:p>
        </w:tc>
        <w:tc>
          <w:tcPr>
            <w:tcW w:w="1800" w:type="dxa"/>
            <w:tcBorders>
              <w:top w:val="double" w:sz="4" w:space="0" w:color="auto"/>
            </w:tcBorders>
          </w:tcPr>
          <w:p w14:paraId="778F49F8" w14:textId="232BBE75" w:rsidR="00B10939" w:rsidRPr="000D7A58" w:rsidRDefault="00B10939" w:rsidP="00C65FEF">
            <w:pPr>
              <w:jc w:val="center"/>
            </w:pPr>
            <w:r w:rsidRPr="000D7A58">
              <w:t>75</w:t>
            </w:r>
            <w:r w:rsidR="00C65FEF">
              <w:t>+</w:t>
            </w:r>
          </w:p>
        </w:tc>
        <w:tc>
          <w:tcPr>
            <w:tcW w:w="2070" w:type="dxa"/>
            <w:tcBorders>
              <w:top w:val="double" w:sz="4" w:space="0" w:color="auto"/>
            </w:tcBorders>
          </w:tcPr>
          <w:p w14:paraId="4F15B18B" w14:textId="3B978388" w:rsidR="00B10939" w:rsidRPr="000D7A58" w:rsidRDefault="00B10939" w:rsidP="00C65FEF">
            <w:pPr>
              <w:jc w:val="center"/>
            </w:pPr>
            <w:r w:rsidRPr="000D7A58">
              <w:t>78</w:t>
            </w:r>
            <w:r w:rsidR="00C65FEF">
              <w:t>+</w:t>
            </w:r>
          </w:p>
        </w:tc>
        <w:tc>
          <w:tcPr>
            <w:tcW w:w="1980" w:type="dxa"/>
            <w:tcBorders>
              <w:top w:val="double" w:sz="4" w:space="0" w:color="auto"/>
            </w:tcBorders>
          </w:tcPr>
          <w:p w14:paraId="0E49047B" w14:textId="22677E2C" w:rsidR="00B10939" w:rsidRPr="000D7A58" w:rsidRDefault="00B10939" w:rsidP="00C65FEF">
            <w:pPr>
              <w:jc w:val="center"/>
            </w:pPr>
            <w:r w:rsidRPr="000D7A58">
              <w:t>80</w:t>
            </w:r>
            <w:r w:rsidR="00C65FEF">
              <w:t>+</w:t>
            </w:r>
          </w:p>
        </w:tc>
        <w:tc>
          <w:tcPr>
            <w:tcW w:w="1885" w:type="dxa"/>
            <w:tcBorders>
              <w:top w:val="double" w:sz="4" w:space="0" w:color="auto"/>
            </w:tcBorders>
          </w:tcPr>
          <w:p w14:paraId="223D9423" w14:textId="610A29C9" w:rsidR="00B10939" w:rsidRPr="000D7A58" w:rsidRDefault="00B10939" w:rsidP="00C65FEF">
            <w:pPr>
              <w:jc w:val="center"/>
              <w:rPr>
                <w:rFonts w:cstheme="minorHAnsi"/>
                <w:bCs/>
              </w:rPr>
            </w:pPr>
            <w:r w:rsidRPr="000D7A58">
              <w:rPr>
                <w:rFonts w:cstheme="minorHAnsi"/>
                <w:bCs/>
              </w:rPr>
              <w:t>82</w:t>
            </w:r>
            <w:r w:rsidR="00C65FEF">
              <w:rPr>
                <w:rFonts w:cstheme="minorHAnsi"/>
                <w:bCs/>
              </w:rPr>
              <w:t>+</w:t>
            </w:r>
          </w:p>
        </w:tc>
      </w:tr>
      <w:tr w:rsidR="00B10939" w:rsidRPr="000D7A58" w14:paraId="652CE8D8" w14:textId="77777777" w:rsidTr="008F70A4">
        <w:tc>
          <w:tcPr>
            <w:tcW w:w="1615" w:type="dxa"/>
          </w:tcPr>
          <w:p w14:paraId="64358D04" w14:textId="77777777" w:rsidR="00B10939" w:rsidRPr="000D7A58" w:rsidRDefault="00B10939" w:rsidP="008F70A4">
            <w:r w:rsidRPr="000D7A58">
              <w:t>Almost Met</w:t>
            </w:r>
          </w:p>
        </w:tc>
        <w:tc>
          <w:tcPr>
            <w:tcW w:w="1800" w:type="dxa"/>
          </w:tcPr>
          <w:p w14:paraId="756FBCEC" w14:textId="280931E5" w:rsidR="00B10939" w:rsidRPr="000D7A58" w:rsidRDefault="00B10939" w:rsidP="00C65FEF">
            <w:pPr>
              <w:jc w:val="center"/>
            </w:pPr>
            <w:r w:rsidRPr="000D7A58">
              <w:t>65 – 74</w:t>
            </w:r>
          </w:p>
        </w:tc>
        <w:tc>
          <w:tcPr>
            <w:tcW w:w="2070" w:type="dxa"/>
          </w:tcPr>
          <w:p w14:paraId="5AAFAE35" w14:textId="3E35B6A5" w:rsidR="00B10939" w:rsidRPr="000D7A58" w:rsidRDefault="00B10939" w:rsidP="00C65FEF">
            <w:pPr>
              <w:jc w:val="center"/>
            </w:pPr>
            <w:r w:rsidRPr="000D7A58">
              <w:t>68 – 77</w:t>
            </w:r>
          </w:p>
        </w:tc>
        <w:tc>
          <w:tcPr>
            <w:tcW w:w="1980" w:type="dxa"/>
          </w:tcPr>
          <w:p w14:paraId="20BB067D" w14:textId="14F97ED5" w:rsidR="00B10939" w:rsidRPr="000D7A58" w:rsidRDefault="00B10939" w:rsidP="00C65FEF">
            <w:pPr>
              <w:jc w:val="center"/>
            </w:pPr>
            <w:r w:rsidRPr="000D7A58">
              <w:t>70 – 79</w:t>
            </w:r>
          </w:p>
        </w:tc>
        <w:tc>
          <w:tcPr>
            <w:tcW w:w="1885" w:type="dxa"/>
          </w:tcPr>
          <w:p w14:paraId="41F4BE14" w14:textId="4DA854B0" w:rsidR="00B10939" w:rsidRPr="000D7A58" w:rsidRDefault="00B10939" w:rsidP="00C65FEF">
            <w:pPr>
              <w:jc w:val="center"/>
              <w:rPr>
                <w:rFonts w:cstheme="minorHAnsi"/>
                <w:bCs/>
              </w:rPr>
            </w:pPr>
            <w:r w:rsidRPr="000D7A58">
              <w:rPr>
                <w:rFonts w:cstheme="minorHAnsi"/>
                <w:bCs/>
              </w:rPr>
              <w:t>72 – 81</w:t>
            </w:r>
          </w:p>
        </w:tc>
      </w:tr>
      <w:tr w:rsidR="00B10939" w:rsidRPr="000D7A58" w14:paraId="700B55F6" w14:textId="77777777" w:rsidTr="008F70A4">
        <w:tc>
          <w:tcPr>
            <w:tcW w:w="1615" w:type="dxa"/>
          </w:tcPr>
          <w:p w14:paraId="06ED8FAC" w14:textId="77777777" w:rsidR="00B10939" w:rsidRPr="000D7A58" w:rsidRDefault="00B10939" w:rsidP="008F70A4">
            <w:r w:rsidRPr="000D7A58">
              <w:t>Not Met</w:t>
            </w:r>
          </w:p>
        </w:tc>
        <w:tc>
          <w:tcPr>
            <w:tcW w:w="1800" w:type="dxa"/>
          </w:tcPr>
          <w:p w14:paraId="62AD6DDC" w14:textId="1C3EFE51" w:rsidR="00B10939" w:rsidRPr="000D7A58" w:rsidRDefault="00B10939" w:rsidP="00C65FEF">
            <w:pPr>
              <w:jc w:val="center"/>
            </w:pPr>
            <w:r w:rsidRPr="000D7A58">
              <w:t>64 or fewer</w:t>
            </w:r>
          </w:p>
        </w:tc>
        <w:tc>
          <w:tcPr>
            <w:tcW w:w="2070" w:type="dxa"/>
          </w:tcPr>
          <w:p w14:paraId="325C697D" w14:textId="2BFEF61D" w:rsidR="00B10939" w:rsidRPr="000D7A58" w:rsidRDefault="00B10939" w:rsidP="00C65FEF">
            <w:pPr>
              <w:jc w:val="center"/>
            </w:pPr>
            <w:r w:rsidRPr="000D7A58">
              <w:t>67 or fewer</w:t>
            </w:r>
          </w:p>
        </w:tc>
        <w:tc>
          <w:tcPr>
            <w:tcW w:w="1980" w:type="dxa"/>
          </w:tcPr>
          <w:p w14:paraId="1E47AEB6" w14:textId="1040972E" w:rsidR="00B10939" w:rsidRPr="000D7A58" w:rsidRDefault="00B10939" w:rsidP="00C65FEF">
            <w:pPr>
              <w:jc w:val="center"/>
            </w:pPr>
            <w:r w:rsidRPr="000D7A58">
              <w:t>69 or fewer</w:t>
            </w:r>
          </w:p>
        </w:tc>
        <w:tc>
          <w:tcPr>
            <w:tcW w:w="1885" w:type="dxa"/>
          </w:tcPr>
          <w:p w14:paraId="3F064ED7" w14:textId="2964A769" w:rsidR="00B10939" w:rsidRPr="000D7A58" w:rsidRDefault="00B10939" w:rsidP="00C65FEF">
            <w:pPr>
              <w:jc w:val="center"/>
              <w:rPr>
                <w:rFonts w:cstheme="minorHAnsi"/>
                <w:bCs/>
              </w:rPr>
            </w:pPr>
            <w:r w:rsidRPr="000D7A58">
              <w:rPr>
                <w:rFonts w:cstheme="minorHAnsi"/>
                <w:bCs/>
              </w:rPr>
              <w:t>71 or fewer</w:t>
            </w:r>
          </w:p>
        </w:tc>
      </w:tr>
    </w:tbl>
    <w:p w14:paraId="4EE57FB2" w14:textId="77777777" w:rsidR="00C65FEF" w:rsidRDefault="00C65FEF" w:rsidP="00B10939"/>
    <w:p w14:paraId="31DBFE49" w14:textId="0EA4B26C" w:rsidR="00B10939" w:rsidRDefault="00C65FEF" w:rsidP="00B10939">
      <w:r>
        <w:rPr>
          <w:u w:val="single"/>
        </w:rPr>
        <w:t>Peer Institution</w:t>
      </w:r>
      <w:r>
        <w:t>: This indicator is unique to COCC and as such, no peer institution data is available.</w:t>
      </w:r>
    </w:p>
    <w:p w14:paraId="65C7E22D" w14:textId="403CD57A" w:rsidR="00C65FEF" w:rsidRDefault="00C65FEF" w:rsidP="00B10939"/>
    <w:p w14:paraId="78D69032" w14:textId="23B0FD01" w:rsidR="00C65FEF" w:rsidRPr="00C65FEF" w:rsidRDefault="00C65FEF" w:rsidP="00B10939">
      <w:r>
        <w:rPr>
          <w:u w:val="single"/>
        </w:rPr>
        <w:t>Progress</w:t>
      </w:r>
      <w:r>
        <w:t>: The 2023-24 academic year saw a total of 129 COCC-sponsored events</w:t>
      </w:r>
      <w:r w:rsidR="006D4E91">
        <w:t>, far surpassing its goal of 78 or more events. 2024-25 data will be available in summer 2025.</w:t>
      </w:r>
    </w:p>
    <w:p w14:paraId="157D0951" w14:textId="78DB2869" w:rsidR="009E1826" w:rsidRPr="000D7A58" w:rsidRDefault="009E1826" w:rsidP="009E1826">
      <w:pPr>
        <w:rPr>
          <w:rFonts w:cstheme="minorHAnsi"/>
        </w:rPr>
      </w:pPr>
    </w:p>
    <w:p w14:paraId="5489713A" w14:textId="71D18DA5" w:rsidR="009E1826" w:rsidRPr="000D7A58" w:rsidRDefault="009E1826" w:rsidP="009E1826">
      <w:pPr>
        <w:shd w:val="clear" w:color="auto" w:fill="FFE599" w:themeFill="accent4" w:themeFillTint="66"/>
        <w:tabs>
          <w:tab w:val="right" w:pos="9360"/>
        </w:tabs>
        <w:rPr>
          <w:rFonts w:cstheme="minorHAnsi"/>
          <w:b/>
        </w:rPr>
      </w:pPr>
      <w:r w:rsidRPr="000D7A58">
        <w:rPr>
          <w:rFonts w:cstheme="minorHAnsi"/>
          <w:b/>
        </w:rPr>
        <w:t>Stakeholder Groups</w:t>
      </w:r>
      <w:r w:rsidRPr="000D7A58">
        <w:rPr>
          <w:rFonts w:cstheme="minorHAnsi"/>
          <w:b/>
        </w:rPr>
        <w:tab/>
        <w:t>Zak Boone</w:t>
      </w:r>
    </w:p>
    <w:p w14:paraId="37C9ACF7" w14:textId="77777777" w:rsidR="009E1826" w:rsidRPr="000D7A58" w:rsidRDefault="009E1826" w:rsidP="009E1826">
      <w:pPr>
        <w:rPr>
          <w:rFonts w:cstheme="minorHAnsi"/>
          <w:bCs/>
        </w:rPr>
      </w:pPr>
    </w:p>
    <w:p w14:paraId="4EFD52FA" w14:textId="46F37891" w:rsidR="009E1826" w:rsidRPr="000D7A58" w:rsidRDefault="009E1826" w:rsidP="009E1826">
      <w:pPr>
        <w:rPr>
          <w:rFonts w:cstheme="minorHAnsi"/>
          <w:bCs/>
          <w:u w:val="single"/>
        </w:rPr>
      </w:pPr>
      <w:r w:rsidRPr="000D7A58">
        <w:rPr>
          <w:rFonts w:cstheme="minorHAnsi"/>
          <w:bCs/>
          <w:u w:val="single"/>
        </w:rPr>
        <w:t>Rationale for Indicator</w:t>
      </w:r>
      <w:r w:rsidR="00C60FFC" w:rsidRPr="000D7A58">
        <w:rPr>
          <w:rFonts w:cstheme="minorHAnsi"/>
          <w:bCs/>
          <w:u w:val="single"/>
        </w:rPr>
        <w:t>:</w:t>
      </w:r>
      <w:r w:rsidR="00C60FFC" w:rsidRPr="000D7A58">
        <w:rPr>
          <w:rFonts w:cstheme="minorHAnsi"/>
          <w:bCs/>
        </w:rPr>
        <w:t xml:space="preserve"> </w:t>
      </w:r>
      <w:r w:rsidR="00C60FFC" w:rsidRPr="000D7A58">
        <w:t xml:space="preserve">Overall, engagement with key stakeholder groups enriches the professional experience of COCC staff, strengthens the college's ties to the community, and contributes to student success, workforce development, and regional prosperity in Central Oregon. By actively participating in these partnerships, COCC staff can make meaningful contributions to the </w:t>
      </w:r>
      <w:r w:rsidR="002A3163" w:rsidRPr="000D7A58">
        <w:t>C</w:t>
      </w:r>
      <w:r w:rsidR="00C60FFC" w:rsidRPr="000D7A58">
        <w:t>ollege's mission and the communit</w:t>
      </w:r>
      <w:r w:rsidR="002A3163" w:rsidRPr="000D7A58">
        <w:t>ies</w:t>
      </w:r>
      <w:r w:rsidR="00C60FFC" w:rsidRPr="000D7A58">
        <w:t xml:space="preserve"> we serve.</w:t>
      </w:r>
    </w:p>
    <w:p w14:paraId="67651317" w14:textId="77777777" w:rsidR="009E1826" w:rsidRPr="000D7A58" w:rsidRDefault="009E1826" w:rsidP="009E1826">
      <w:pPr>
        <w:rPr>
          <w:rFonts w:cstheme="minorHAnsi"/>
          <w:bCs/>
          <w:u w:val="single"/>
        </w:rPr>
      </w:pPr>
    </w:p>
    <w:p w14:paraId="2B9A4421" w14:textId="680C0C5C" w:rsidR="009E1826" w:rsidRPr="000D7A58" w:rsidRDefault="009E1826" w:rsidP="009E1826">
      <w:pPr>
        <w:rPr>
          <w:rFonts w:cstheme="minorHAnsi"/>
          <w:bCs/>
        </w:rPr>
      </w:pPr>
      <w:r w:rsidRPr="000D7A58">
        <w:rPr>
          <w:rFonts w:cstheme="minorHAnsi"/>
          <w:bCs/>
          <w:u w:val="single"/>
        </w:rPr>
        <w:t>Definition</w:t>
      </w:r>
      <w:r w:rsidR="00C60FFC" w:rsidRPr="000D7A58">
        <w:rPr>
          <w:rFonts w:cstheme="minorHAnsi"/>
          <w:bCs/>
        </w:rPr>
        <w:t xml:space="preserve">: </w:t>
      </w:r>
      <w:r w:rsidR="00C60FFC" w:rsidRPr="000D7A58">
        <w:t>Key stakeholder groups for this indicator include the following 14 entities: OSU-Cascades, City Club of Central Oregon, Economic Development for Central Oregon (EDCO) and its regional offices (4), Bend/Redmond/Sunriver-</w:t>
      </w:r>
      <w:proofErr w:type="spellStart"/>
      <w:r w:rsidR="00C60FFC" w:rsidRPr="000D7A58">
        <w:t>LaPine</w:t>
      </w:r>
      <w:proofErr w:type="spellEnd"/>
      <w:r w:rsidR="00C60FFC" w:rsidRPr="000D7A58">
        <w:t>/</w:t>
      </w:r>
      <w:r w:rsidR="00C60FFC" w:rsidRPr="00DC7299">
        <w:t>Sisters</w:t>
      </w:r>
      <w:r w:rsidR="006D4E91" w:rsidRPr="00DC7299">
        <w:t>/Prineville</w:t>
      </w:r>
      <w:r w:rsidR="00C60FFC" w:rsidRPr="00DC7299">
        <w:t xml:space="preserve"> &amp; Madras Chambers of Commerce (</w:t>
      </w:r>
      <w:r w:rsidR="00DC7299">
        <w:t>6</w:t>
      </w:r>
      <w:r w:rsidR="00C60FFC" w:rsidRPr="00DC7299">
        <w:t>), High</w:t>
      </w:r>
      <w:r w:rsidR="00C60FFC" w:rsidRPr="000D7A58">
        <w:t xml:space="preserve"> Desert Education Service District (HDESD), Central Oregon Intergovernmental Council (COIC) and East Cascades Works.</w:t>
      </w:r>
    </w:p>
    <w:p w14:paraId="5834799B" w14:textId="77777777" w:rsidR="009E1826" w:rsidRPr="000D7A58" w:rsidRDefault="009E1826" w:rsidP="009E1826">
      <w:pPr>
        <w:rPr>
          <w:rFonts w:cstheme="minorHAnsi"/>
          <w:bCs/>
        </w:rPr>
      </w:pPr>
    </w:p>
    <w:p w14:paraId="702A246B" w14:textId="39D1D0F2" w:rsidR="009E1826" w:rsidRPr="000D7A58" w:rsidRDefault="009E1826" w:rsidP="009E1826">
      <w:r w:rsidRPr="000D7A58">
        <w:rPr>
          <w:rFonts w:cstheme="minorHAnsi"/>
          <w:bCs/>
          <w:u w:val="single"/>
        </w:rPr>
        <w:t>Targets</w:t>
      </w:r>
      <w:r w:rsidR="00C60FFC" w:rsidRPr="00DC7299">
        <w:rPr>
          <w:rFonts w:cstheme="minorHAnsi"/>
          <w:bCs/>
        </w:rPr>
        <w:t>:</w:t>
      </w:r>
      <w:r w:rsidR="00C60FFC" w:rsidRPr="000D7A58">
        <w:rPr>
          <w:rFonts w:cstheme="minorHAnsi"/>
          <w:bCs/>
        </w:rPr>
        <w:t xml:space="preserve"> </w:t>
      </w:r>
      <w:r w:rsidR="00C60FFC" w:rsidRPr="000D7A58">
        <w:t>Active engagement with these groups should be a priority for the College and 85% or higher indicates ongoing, meaningful engagement with the above groups. “Active engagement” is defined as formal MOU’s, active membership, board/committee representation by COCC staff/faculty</w:t>
      </w:r>
      <w:r w:rsidR="002A3163" w:rsidRPr="000D7A58">
        <w:t xml:space="preserve"> or related commitments</w:t>
      </w:r>
      <w:r w:rsidR="00C60FFC" w:rsidRPr="000D7A58">
        <w:t>. Targets for this involvement are:</w:t>
      </w:r>
    </w:p>
    <w:p w14:paraId="4E36D21E" w14:textId="2827B3BF" w:rsidR="00C60FFC" w:rsidRPr="000D7A58" w:rsidRDefault="00C60FFC" w:rsidP="009E1826"/>
    <w:p w14:paraId="30439EF3" w14:textId="40E98A50" w:rsidR="00C60FFC" w:rsidRPr="000D7A58" w:rsidRDefault="00C60FFC" w:rsidP="00C60FFC">
      <w:pPr>
        <w:pStyle w:val="ListParagraph"/>
        <w:numPr>
          <w:ilvl w:val="0"/>
          <w:numId w:val="23"/>
        </w:numPr>
      </w:pPr>
      <w:r w:rsidRPr="000D7A58">
        <w:t>Met: 85% or more of key stakeholder groups have COCC engagement</w:t>
      </w:r>
    </w:p>
    <w:p w14:paraId="2D35A8FE" w14:textId="429E5DCF" w:rsidR="00C60FFC" w:rsidRPr="000D7A58" w:rsidRDefault="00C60FFC" w:rsidP="00C60FFC">
      <w:pPr>
        <w:pStyle w:val="ListParagraph"/>
        <w:numPr>
          <w:ilvl w:val="0"/>
          <w:numId w:val="23"/>
        </w:numPr>
      </w:pPr>
      <w:r w:rsidRPr="000D7A58">
        <w:t>Almost Met: 70 - 84%</w:t>
      </w:r>
    </w:p>
    <w:p w14:paraId="7EA0F482" w14:textId="77777777" w:rsidR="00C60FFC" w:rsidRPr="000D7A58" w:rsidRDefault="00C60FFC" w:rsidP="00C60FFC">
      <w:pPr>
        <w:pStyle w:val="ListParagraph"/>
        <w:numPr>
          <w:ilvl w:val="0"/>
          <w:numId w:val="23"/>
        </w:numPr>
      </w:pPr>
      <w:r w:rsidRPr="000D7A58">
        <w:t>Not Met: Below 70%</w:t>
      </w:r>
    </w:p>
    <w:p w14:paraId="5C68E5BF" w14:textId="3F42BAA3" w:rsidR="00C60FFC" w:rsidRPr="000D7A58" w:rsidRDefault="00C60FFC" w:rsidP="009E1826"/>
    <w:p w14:paraId="1CDFEDB0" w14:textId="77777777" w:rsidR="006D4E91" w:rsidRDefault="006D4E91" w:rsidP="006D4E91">
      <w:r>
        <w:rPr>
          <w:u w:val="single"/>
        </w:rPr>
        <w:t>Peer Institution</w:t>
      </w:r>
      <w:r>
        <w:t>: This indicator is unique to COCC and as such, no peer institution data is available.</w:t>
      </w:r>
    </w:p>
    <w:p w14:paraId="55AE3721" w14:textId="77777777" w:rsidR="006D4E91" w:rsidRDefault="006D4E91" w:rsidP="006D4E91"/>
    <w:p w14:paraId="1785BDB0" w14:textId="31430CD3" w:rsidR="006D4E91" w:rsidRPr="00C65FEF" w:rsidRDefault="006D4E91" w:rsidP="006D4E91">
      <w:r>
        <w:rPr>
          <w:u w:val="single"/>
        </w:rPr>
        <w:t>Progress</w:t>
      </w:r>
      <w:r>
        <w:t xml:space="preserve">: In 2023-24, COCC was actively engaged with 15 of the 16 organizations, or 94%. 2024-25 data will be updated in summer 2025. </w:t>
      </w:r>
    </w:p>
    <w:p w14:paraId="0AAA48FF" w14:textId="77777777" w:rsidR="009E1826" w:rsidRPr="000D7A58" w:rsidRDefault="009E1826" w:rsidP="009E1826">
      <w:pPr>
        <w:rPr>
          <w:rFonts w:cstheme="minorHAnsi"/>
        </w:rPr>
      </w:pPr>
    </w:p>
    <w:p w14:paraId="775CFA24" w14:textId="2128DFA4" w:rsidR="009E1826" w:rsidRPr="000D7A58" w:rsidRDefault="009E1826" w:rsidP="00D85FC4">
      <w:pPr>
        <w:shd w:val="clear" w:color="auto" w:fill="B4C6E7" w:themeFill="accent5" w:themeFillTint="66"/>
        <w:rPr>
          <w:rFonts w:cstheme="minorHAnsi"/>
          <w:b/>
          <w:bCs/>
        </w:rPr>
      </w:pPr>
      <w:r w:rsidRPr="000D7A58">
        <w:rPr>
          <w:rFonts w:cstheme="minorHAnsi"/>
          <w:b/>
          <w:bCs/>
        </w:rPr>
        <w:t>GOAL - WORKFORCE DEVELOPMENT: COCC develops and aligns educational opportunities with regional workforce needs and industry standards.</w:t>
      </w:r>
    </w:p>
    <w:p w14:paraId="2141327A" w14:textId="2289DE1B" w:rsidR="00C94D7B" w:rsidRPr="000D7A58" w:rsidRDefault="00C94D7B" w:rsidP="009E1826">
      <w:pPr>
        <w:rPr>
          <w:rFonts w:cstheme="minorHAnsi"/>
          <w:b/>
          <w:bCs/>
        </w:rPr>
      </w:pPr>
    </w:p>
    <w:p w14:paraId="1E1A75B2" w14:textId="5B733257" w:rsidR="00245007" w:rsidRPr="000D7A58" w:rsidRDefault="00245007" w:rsidP="00245007">
      <w:pPr>
        <w:shd w:val="clear" w:color="auto" w:fill="FFE599" w:themeFill="accent4" w:themeFillTint="66"/>
        <w:rPr>
          <w:rFonts w:cstheme="minorHAnsi"/>
          <w:b/>
          <w:bCs/>
        </w:rPr>
      </w:pPr>
      <w:r w:rsidRPr="000D7A58">
        <w:rPr>
          <w:rFonts w:cstheme="minorHAnsi"/>
          <w:b/>
          <w:bCs/>
        </w:rPr>
        <w:t>Workforce Development: Student Headcount and Completion</w:t>
      </w:r>
    </w:p>
    <w:p w14:paraId="4A088E3F" w14:textId="77777777" w:rsidR="00245007" w:rsidRPr="000D7A58" w:rsidRDefault="00245007" w:rsidP="009E1826">
      <w:pPr>
        <w:rPr>
          <w:rFonts w:cstheme="minorHAnsi"/>
          <w:b/>
          <w:bCs/>
        </w:rPr>
      </w:pPr>
    </w:p>
    <w:p w14:paraId="66444FEE" w14:textId="3CDBE24C" w:rsidR="00FC6172" w:rsidRPr="000D7A58" w:rsidRDefault="00FC6172" w:rsidP="00FC6172">
      <w:pPr>
        <w:rPr>
          <w:rFonts w:cstheme="minorHAnsi"/>
          <w:bCs/>
          <w:u w:val="single"/>
        </w:rPr>
      </w:pPr>
      <w:r w:rsidRPr="000D7A58">
        <w:rPr>
          <w:rFonts w:cstheme="minorHAnsi"/>
          <w:bCs/>
          <w:u w:val="single"/>
        </w:rPr>
        <w:t>Rationale for Indicator</w:t>
      </w:r>
      <w:r w:rsidRPr="000D7A58">
        <w:rPr>
          <w:rFonts w:cstheme="minorHAnsi"/>
          <w:bCs/>
        </w:rPr>
        <w:t>: The College</w:t>
      </w:r>
      <w:r w:rsidR="00245007" w:rsidRPr="000D7A58">
        <w:rPr>
          <w:rFonts w:cstheme="minorHAnsi"/>
          <w:bCs/>
        </w:rPr>
        <w:t>’s goal regarding workforce development demonstrates its</w:t>
      </w:r>
      <w:r w:rsidRPr="000D7A58">
        <w:rPr>
          <w:rFonts w:cstheme="minorHAnsi"/>
          <w:bCs/>
        </w:rPr>
        <w:t xml:space="preserve"> </w:t>
      </w:r>
      <w:r w:rsidR="00245007" w:rsidRPr="000D7A58">
        <w:rPr>
          <w:rFonts w:cstheme="minorHAnsi"/>
          <w:bCs/>
        </w:rPr>
        <w:t>commitment</w:t>
      </w:r>
      <w:r w:rsidRPr="000D7A58">
        <w:rPr>
          <w:rFonts w:cstheme="minorHAnsi"/>
          <w:bCs/>
        </w:rPr>
        <w:t xml:space="preserve"> to preparing </w:t>
      </w:r>
      <w:r w:rsidR="00245007" w:rsidRPr="000D7A58">
        <w:rPr>
          <w:rFonts w:cstheme="minorHAnsi"/>
          <w:bCs/>
        </w:rPr>
        <w:t>students who</w:t>
      </w:r>
      <w:r w:rsidRPr="000D7A58">
        <w:rPr>
          <w:rFonts w:cstheme="minorHAnsi"/>
          <w:bCs/>
        </w:rPr>
        <w:t xml:space="preserve"> are ready to enter the regional workforce</w:t>
      </w:r>
      <w:r w:rsidR="00245007" w:rsidRPr="000D7A58">
        <w:rPr>
          <w:rFonts w:cstheme="minorHAnsi"/>
          <w:bCs/>
        </w:rPr>
        <w:t>. With this, COCC</w:t>
      </w:r>
      <w:r w:rsidRPr="000D7A58">
        <w:rPr>
          <w:rFonts w:cstheme="minorHAnsi"/>
          <w:bCs/>
        </w:rPr>
        <w:t xml:space="preserve"> will track headcount and completion rates in classes and programs that respond to the varying </w:t>
      </w:r>
      <w:r w:rsidR="00204499">
        <w:rPr>
          <w:rFonts w:cstheme="minorHAnsi"/>
          <w:bCs/>
        </w:rPr>
        <w:t xml:space="preserve">workforce </w:t>
      </w:r>
      <w:r w:rsidRPr="000D7A58">
        <w:rPr>
          <w:rFonts w:cstheme="minorHAnsi"/>
          <w:bCs/>
        </w:rPr>
        <w:t xml:space="preserve">needs of our communities and regional partners. </w:t>
      </w:r>
    </w:p>
    <w:p w14:paraId="65BB5139" w14:textId="77777777" w:rsidR="00FC6172" w:rsidRPr="000D7A58" w:rsidRDefault="00FC6172" w:rsidP="00FC6172">
      <w:pPr>
        <w:rPr>
          <w:rFonts w:cstheme="minorHAnsi"/>
          <w:bCs/>
          <w:u w:val="single"/>
        </w:rPr>
      </w:pPr>
    </w:p>
    <w:p w14:paraId="5E27E9E5" w14:textId="3AAD7D1D" w:rsidR="00FC6172" w:rsidRPr="000D7A58" w:rsidRDefault="00FC6172" w:rsidP="00245007">
      <w:pPr>
        <w:rPr>
          <w:rFonts w:cstheme="minorHAnsi"/>
          <w:bCs/>
          <w:u w:val="single"/>
        </w:rPr>
      </w:pPr>
      <w:r w:rsidRPr="000D7A58">
        <w:rPr>
          <w:rFonts w:cstheme="minorHAnsi"/>
          <w:bCs/>
          <w:u w:val="single"/>
        </w:rPr>
        <w:t>Definition:</w:t>
      </w:r>
      <w:r w:rsidRPr="000D7A58">
        <w:rPr>
          <w:rFonts w:cstheme="minorHAnsi"/>
          <w:bCs/>
        </w:rPr>
        <w:t xml:space="preserve"> </w:t>
      </w:r>
      <w:r w:rsidR="009E6AF7" w:rsidRPr="000D7A58">
        <w:rPr>
          <w:rFonts w:cstheme="minorHAnsi"/>
          <w:bCs/>
        </w:rPr>
        <w:t xml:space="preserve">This indicator is measured by the number of students enrolled in workforce classes or trainings and the number of students completing workforce programs; it includes both credit or noncredit offerings. Credit headcount and completion are those students in career and technical education courses and program, while noncredit courses and programs are those defined as workforce development (examples include </w:t>
      </w:r>
      <w:r w:rsidR="009E6AF7" w:rsidRPr="000D7A58">
        <w:rPr>
          <w:rFonts w:cstheme="minorHAnsi"/>
        </w:rPr>
        <w:t>American Heart Association trainings, pre-apprenticeship courses, Small Business Development Center courses and trainings, and some Community Education courses)</w:t>
      </w:r>
      <w:r w:rsidR="009E6AF7" w:rsidRPr="000D7A58">
        <w:rPr>
          <w:rFonts w:cstheme="minorHAnsi"/>
          <w:bCs/>
        </w:rPr>
        <w:t>.</w:t>
      </w:r>
    </w:p>
    <w:p w14:paraId="3C44EF80" w14:textId="77777777" w:rsidR="00FC6172" w:rsidRPr="000D7A58" w:rsidRDefault="00FC6172" w:rsidP="00FC6172">
      <w:pPr>
        <w:rPr>
          <w:rFonts w:cstheme="minorHAnsi"/>
          <w:bCs/>
        </w:rPr>
      </w:pPr>
    </w:p>
    <w:p w14:paraId="3BA4DE43" w14:textId="47282462" w:rsidR="00FC6172" w:rsidRPr="000D7A58" w:rsidRDefault="00FC6172" w:rsidP="00FC6172">
      <w:pPr>
        <w:rPr>
          <w:rFonts w:cstheme="minorHAnsi"/>
          <w:bCs/>
        </w:rPr>
      </w:pPr>
      <w:r w:rsidRPr="000D7A58">
        <w:rPr>
          <w:rFonts w:cstheme="minorHAnsi"/>
          <w:bCs/>
          <w:u w:val="single"/>
        </w:rPr>
        <w:t>Targets</w:t>
      </w:r>
      <w:r w:rsidRPr="000D7A58">
        <w:rPr>
          <w:rFonts w:cstheme="minorHAnsi"/>
          <w:bCs/>
        </w:rPr>
        <w:t xml:space="preserve">: </w:t>
      </w:r>
      <w:r w:rsidR="00245007" w:rsidRPr="000D7A58">
        <w:rPr>
          <w:rFonts w:cstheme="minorHAnsi"/>
          <w:bCs/>
        </w:rPr>
        <w:t>COCC</w:t>
      </w:r>
      <w:r w:rsidRPr="000D7A58">
        <w:rPr>
          <w:rFonts w:cstheme="minorHAnsi"/>
          <w:bCs/>
        </w:rPr>
        <w:t xml:space="preserve"> set </w:t>
      </w:r>
      <w:r w:rsidR="00245007" w:rsidRPr="000D7A58">
        <w:rPr>
          <w:rFonts w:cstheme="minorHAnsi"/>
          <w:bCs/>
        </w:rPr>
        <w:t xml:space="preserve">its </w:t>
      </w:r>
      <w:r w:rsidRPr="000D7A58">
        <w:rPr>
          <w:rFonts w:cstheme="minorHAnsi"/>
          <w:bCs/>
        </w:rPr>
        <w:t xml:space="preserve">targets as an aggregate of all students taking and completing </w:t>
      </w:r>
      <w:r w:rsidR="00245007" w:rsidRPr="000D7A58">
        <w:rPr>
          <w:rFonts w:cstheme="minorHAnsi"/>
          <w:bCs/>
        </w:rPr>
        <w:t>workforce</w:t>
      </w:r>
      <w:r w:rsidRPr="000D7A58">
        <w:rPr>
          <w:rFonts w:cstheme="minorHAnsi"/>
          <w:bCs/>
        </w:rPr>
        <w:t xml:space="preserve"> programs. Targets are currently set for 2024-25, but as </w:t>
      </w:r>
      <w:r w:rsidR="00E56563" w:rsidRPr="000D7A58">
        <w:rPr>
          <w:rFonts w:cstheme="minorHAnsi"/>
          <w:bCs/>
        </w:rPr>
        <w:t>the College refines its</w:t>
      </w:r>
      <w:r w:rsidRPr="000D7A58">
        <w:rPr>
          <w:rFonts w:cstheme="minorHAnsi"/>
          <w:bCs/>
        </w:rPr>
        <w:t xml:space="preserve"> analysis of regional workforce needs, </w:t>
      </w:r>
      <w:r w:rsidR="00E56563" w:rsidRPr="000D7A58">
        <w:rPr>
          <w:rFonts w:cstheme="minorHAnsi"/>
          <w:bCs/>
        </w:rPr>
        <w:t>the action team</w:t>
      </w:r>
      <w:r w:rsidRPr="000D7A58">
        <w:rPr>
          <w:rFonts w:cstheme="minorHAnsi"/>
          <w:bCs/>
        </w:rPr>
        <w:t xml:space="preserve"> will adjust targets to align with </w:t>
      </w:r>
      <w:r w:rsidR="00E56563" w:rsidRPr="000D7A58">
        <w:rPr>
          <w:rFonts w:cstheme="minorHAnsi"/>
          <w:bCs/>
        </w:rPr>
        <w:t xml:space="preserve">these </w:t>
      </w:r>
      <w:r w:rsidRPr="000D7A58">
        <w:rPr>
          <w:rFonts w:cstheme="minorHAnsi"/>
          <w:bCs/>
        </w:rPr>
        <w:t xml:space="preserve">findings. </w:t>
      </w:r>
    </w:p>
    <w:p w14:paraId="3EEF853C" w14:textId="77777777" w:rsidR="00FC6172" w:rsidRPr="000D7A58" w:rsidRDefault="00FC6172" w:rsidP="00FC6172">
      <w:pPr>
        <w:rPr>
          <w:rFonts w:cstheme="minorHAnsi"/>
          <w:bCs/>
        </w:rPr>
      </w:pPr>
    </w:p>
    <w:tbl>
      <w:tblPr>
        <w:tblStyle w:val="TableGrid"/>
        <w:tblW w:w="0" w:type="auto"/>
        <w:tblLook w:val="04A0" w:firstRow="1" w:lastRow="0" w:firstColumn="1" w:lastColumn="0" w:noHBand="0" w:noVBand="1"/>
      </w:tblPr>
      <w:tblGrid>
        <w:gridCol w:w="2717"/>
        <w:gridCol w:w="1598"/>
        <w:gridCol w:w="1980"/>
        <w:gridCol w:w="1583"/>
        <w:gridCol w:w="1472"/>
      </w:tblGrid>
      <w:tr w:rsidR="00FC6172" w:rsidRPr="000D7A58" w14:paraId="73551C91" w14:textId="77777777" w:rsidTr="009E6AF7">
        <w:tc>
          <w:tcPr>
            <w:tcW w:w="2717" w:type="dxa"/>
          </w:tcPr>
          <w:p w14:paraId="05D720EC" w14:textId="77777777" w:rsidR="00FC6172" w:rsidRPr="000D7A58" w:rsidRDefault="00FC6172" w:rsidP="008F70A4">
            <w:pPr>
              <w:rPr>
                <w:rFonts w:cstheme="minorHAnsi"/>
                <w:bCs/>
              </w:rPr>
            </w:pPr>
          </w:p>
        </w:tc>
        <w:tc>
          <w:tcPr>
            <w:tcW w:w="1598" w:type="dxa"/>
          </w:tcPr>
          <w:p w14:paraId="670C311D" w14:textId="2F1F9F03" w:rsidR="00FC6172" w:rsidRPr="009E6AF7" w:rsidRDefault="00FC6172" w:rsidP="009E6AF7">
            <w:pPr>
              <w:jc w:val="center"/>
              <w:rPr>
                <w:rFonts w:cstheme="minorHAnsi"/>
              </w:rPr>
            </w:pPr>
            <w:r w:rsidRPr="000D7A58">
              <w:rPr>
                <w:rFonts w:cstheme="minorHAnsi"/>
              </w:rPr>
              <w:t>Credit Student Headcount</w:t>
            </w:r>
          </w:p>
        </w:tc>
        <w:tc>
          <w:tcPr>
            <w:tcW w:w="1980" w:type="dxa"/>
          </w:tcPr>
          <w:p w14:paraId="797F69C3" w14:textId="08BB96B8" w:rsidR="00FC6172" w:rsidRPr="009E6AF7" w:rsidRDefault="00FC6172" w:rsidP="009E6AF7">
            <w:pPr>
              <w:jc w:val="center"/>
              <w:rPr>
                <w:rFonts w:cstheme="minorHAnsi"/>
              </w:rPr>
            </w:pPr>
            <w:r w:rsidRPr="000D7A58">
              <w:rPr>
                <w:rFonts w:cstheme="minorHAnsi"/>
              </w:rPr>
              <w:t>Non-</w:t>
            </w:r>
            <w:r w:rsidR="009E6AF7">
              <w:rPr>
                <w:rFonts w:cstheme="minorHAnsi"/>
              </w:rPr>
              <w:t>C</w:t>
            </w:r>
            <w:r w:rsidRPr="000D7A58">
              <w:rPr>
                <w:rFonts w:cstheme="minorHAnsi"/>
              </w:rPr>
              <w:t>redit Student Headcount</w:t>
            </w:r>
          </w:p>
        </w:tc>
        <w:tc>
          <w:tcPr>
            <w:tcW w:w="1583" w:type="dxa"/>
          </w:tcPr>
          <w:p w14:paraId="28095C8C" w14:textId="0BDCCC0F" w:rsidR="00FC6172" w:rsidRPr="000D7A58" w:rsidRDefault="00FC6172" w:rsidP="009E6AF7">
            <w:pPr>
              <w:jc w:val="center"/>
              <w:rPr>
                <w:rFonts w:cstheme="minorHAnsi"/>
                <w:bCs/>
              </w:rPr>
            </w:pPr>
            <w:r w:rsidRPr="000D7A58">
              <w:rPr>
                <w:rFonts w:cstheme="minorHAnsi"/>
              </w:rPr>
              <w:t xml:space="preserve">Credit </w:t>
            </w:r>
            <w:r w:rsidR="009E6AF7">
              <w:rPr>
                <w:rFonts w:cstheme="minorHAnsi"/>
              </w:rPr>
              <w:t>C</w:t>
            </w:r>
            <w:r w:rsidRPr="000D7A58">
              <w:rPr>
                <w:rFonts w:cstheme="minorHAnsi"/>
              </w:rPr>
              <w:t>ompletion</w:t>
            </w:r>
          </w:p>
        </w:tc>
        <w:tc>
          <w:tcPr>
            <w:tcW w:w="1472" w:type="dxa"/>
          </w:tcPr>
          <w:p w14:paraId="0A302055" w14:textId="32D30D83" w:rsidR="00FC6172" w:rsidRPr="000D7A58" w:rsidRDefault="00FC6172" w:rsidP="009E6AF7">
            <w:pPr>
              <w:jc w:val="center"/>
              <w:rPr>
                <w:rFonts w:cstheme="minorHAnsi"/>
                <w:bCs/>
              </w:rPr>
            </w:pPr>
            <w:r w:rsidRPr="000D7A58">
              <w:rPr>
                <w:rFonts w:cstheme="minorHAnsi"/>
              </w:rPr>
              <w:t>Non-</w:t>
            </w:r>
            <w:r w:rsidR="009E6AF7">
              <w:rPr>
                <w:rFonts w:cstheme="minorHAnsi"/>
              </w:rPr>
              <w:t>C</w:t>
            </w:r>
            <w:r w:rsidRPr="000D7A58">
              <w:rPr>
                <w:rFonts w:cstheme="minorHAnsi"/>
              </w:rPr>
              <w:t xml:space="preserve">redit </w:t>
            </w:r>
            <w:r w:rsidR="009E6AF7">
              <w:rPr>
                <w:rFonts w:cstheme="minorHAnsi"/>
              </w:rPr>
              <w:t>C</w:t>
            </w:r>
            <w:r w:rsidRPr="000D7A58">
              <w:rPr>
                <w:rFonts w:cstheme="minorHAnsi"/>
              </w:rPr>
              <w:t>ompletion</w:t>
            </w:r>
          </w:p>
        </w:tc>
      </w:tr>
      <w:tr w:rsidR="00FC6172" w:rsidRPr="000D7A58" w14:paraId="63D7F751" w14:textId="77777777" w:rsidTr="009E6AF7">
        <w:tc>
          <w:tcPr>
            <w:tcW w:w="2717" w:type="dxa"/>
          </w:tcPr>
          <w:p w14:paraId="626BFF93" w14:textId="5DD465D7" w:rsidR="00FC6172" w:rsidRPr="000D7A58" w:rsidRDefault="00FC6172" w:rsidP="008F70A4">
            <w:r w:rsidRPr="000D7A58">
              <w:t>Met (3 of 4 criteria)</w:t>
            </w:r>
          </w:p>
        </w:tc>
        <w:tc>
          <w:tcPr>
            <w:tcW w:w="1598" w:type="dxa"/>
            <w:shd w:val="clear" w:color="auto" w:fill="auto"/>
          </w:tcPr>
          <w:p w14:paraId="6438964C" w14:textId="6E070751" w:rsidR="00FC6172" w:rsidRPr="000D7A58" w:rsidRDefault="009E6AF7" w:rsidP="009E6AF7">
            <w:pPr>
              <w:jc w:val="center"/>
            </w:pPr>
            <w:r>
              <w:t>+2%</w:t>
            </w:r>
          </w:p>
        </w:tc>
        <w:tc>
          <w:tcPr>
            <w:tcW w:w="1980" w:type="dxa"/>
            <w:shd w:val="clear" w:color="auto" w:fill="auto"/>
          </w:tcPr>
          <w:p w14:paraId="69EAD107" w14:textId="7648A05C" w:rsidR="00FC6172" w:rsidRPr="000D7A58" w:rsidRDefault="009E6AF7" w:rsidP="009E6AF7">
            <w:pPr>
              <w:jc w:val="center"/>
            </w:pPr>
            <w:r>
              <w:t>+2%</w:t>
            </w:r>
          </w:p>
        </w:tc>
        <w:tc>
          <w:tcPr>
            <w:tcW w:w="1583" w:type="dxa"/>
            <w:shd w:val="clear" w:color="auto" w:fill="auto"/>
          </w:tcPr>
          <w:p w14:paraId="7061D733" w14:textId="4814D933" w:rsidR="00FC6172" w:rsidRPr="000D7A58" w:rsidRDefault="009E6AF7" w:rsidP="009E6AF7">
            <w:pPr>
              <w:jc w:val="center"/>
            </w:pPr>
            <w:r>
              <w:t>+</w:t>
            </w:r>
            <w:r w:rsidR="00FC6172" w:rsidRPr="000D7A58">
              <w:t>2</w:t>
            </w:r>
            <w:r>
              <w:t>%</w:t>
            </w:r>
          </w:p>
        </w:tc>
        <w:tc>
          <w:tcPr>
            <w:tcW w:w="1472" w:type="dxa"/>
            <w:shd w:val="clear" w:color="auto" w:fill="auto"/>
          </w:tcPr>
          <w:p w14:paraId="7489C1AD" w14:textId="62DD4607" w:rsidR="00FC6172" w:rsidRPr="000D7A58" w:rsidRDefault="009E6AF7" w:rsidP="009E6AF7">
            <w:pPr>
              <w:jc w:val="center"/>
            </w:pPr>
            <w:r>
              <w:t xml:space="preserve">+2% </w:t>
            </w:r>
          </w:p>
        </w:tc>
      </w:tr>
      <w:tr w:rsidR="009E6AF7" w:rsidRPr="000D7A58" w14:paraId="1EFA2FCF" w14:textId="77777777" w:rsidTr="009E6AF7">
        <w:tc>
          <w:tcPr>
            <w:tcW w:w="2717" w:type="dxa"/>
          </w:tcPr>
          <w:p w14:paraId="6F37C6CC" w14:textId="77777777" w:rsidR="009E6AF7" w:rsidRPr="000D7A58" w:rsidRDefault="009E6AF7" w:rsidP="009E6AF7">
            <w:r w:rsidRPr="000D7A58">
              <w:t>Almost Met (2 of 4 criteria)</w:t>
            </w:r>
          </w:p>
        </w:tc>
        <w:tc>
          <w:tcPr>
            <w:tcW w:w="1598" w:type="dxa"/>
            <w:shd w:val="clear" w:color="auto" w:fill="auto"/>
          </w:tcPr>
          <w:p w14:paraId="49D28149" w14:textId="5958D74B" w:rsidR="009E6AF7" w:rsidRPr="000D7A58" w:rsidRDefault="009E6AF7" w:rsidP="009E6AF7">
            <w:pPr>
              <w:jc w:val="center"/>
            </w:pPr>
            <w:r>
              <w:t>+1%</w:t>
            </w:r>
          </w:p>
        </w:tc>
        <w:tc>
          <w:tcPr>
            <w:tcW w:w="1980" w:type="dxa"/>
            <w:shd w:val="clear" w:color="auto" w:fill="auto"/>
          </w:tcPr>
          <w:p w14:paraId="2BB6AD0E" w14:textId="03F77D42" w:rsidR="009E6AF7" w:rsidRPr="000D7A58" w:rsidRDefault="009E6AF7" w:rsidP="009E6AF7">
            <w:pPr>
              <w:jc w:val="center"/>
            </w:pPr>
            <w:r w:rsidRPr="00B34A23">
              <w:t>+1%</w:t>
            </w:r>
          </w:p>
        </w:tc>
        <w:tc>
          <w:tcPr>
            <w:tcW w:w="1583" w:type="dxa"/>
            <w:shd w:val="clear" w:color="auto" w:fill="auto"/>
          </w:tcPr>
          <w:p w14:paraId="1A19BC45" w14:textId="66DB16D7" w:rsidR="009E6AF7" w:rsidRPr="000D7A58" w:rsidRDefault="009E6AF7" w:rsidP="009E6AF7">
            <w:pPr>
              <w:jc w:val="center"/>
            </w:pPr>
            <w:r w:rsidRPr="00B34A23">
              <w:t>+1%</w:t>
            </w:r>
          </w:p>
        </w:tc>
        <w:tc>
          <w:tcPr>
            <w:tcW w:w="1472" w:type="dxa"/>
            <w:shd w:val="clear" w:color="auto" w:fill="auto"/>
          </w:tcPr>
          <w:p w14:paraId="68584FCC" w14:textId="1BAB0B4A" w:rsidR="009E6AF7" w:rsidRPr="000D7A58" w:rsidRDefault="009E6AF7" w:rsidP="009E6AF7">
            <w:pPr>
              <w:jc w:val="center"/>
              <w:rPr>
                <w:rFonts w:cstheme="minorHAnsi"/>
                <w:bCs/>
              </w:rPr>
            </w:pPr>
            <w:r w:rsidRPr="00B34A23">
              <w:t>+1%</w:t>
            </w:r>
          </w:p>
        </w:tc>
      </w:tr>
      <w:tr w:rsidR="00FC6172" w:rsidRPr="000D7A58" w14:paraId="577A0123" w14:textId="77777777" w:rsidTr="009E6AF7">
        <w:tc>
          <w:tcPr>
            <w:tcW w:w="2717" w:type="dxa"/>
          </w:tcPr>
          <w:p w14:paraId="7F08E4D9" w14:textId="77777777" w:rsidR="00FC6172" w:rsidRPr="000D7A58" w:rsidRDefault="00FC6172" w:rsidP="008F70A4">
            <w:r w:rsidRPr="000D7A58">
              <w:t>Not Met (0 or 1 criterion)</w:t>
            </w:r>
          </w:p>
        </w:tc>
        <w:tc>
          <w:tcPr>
            <w:tcW w:w="1598" w:type="dxa"/>
          </w:tcPr>
          <w:p w14:paraId="13405212" w14:textId="77777777" w:rsidR="00FC6172" w:rsidRPr="000D7A58" w:rsidRDefault="00FC6172" w:rsidP="009E6AF7">
            <w:pPr>
              <w:jc w:val="center"/>
            </w:pPr>
            <w:r w:rsidRPr="000D7A58">
              <w:t>No increase</w:t>
            </w:r>
          </w:p>
        </w:tc>
        <w:tc>
          <w:tcPr>
            <w:tcW w:w="1980" w:type="dxa"/>
          </w:tcPr>
          <w:p w14:paraId="25992C1F" w14:textId="77777777" w:rsidR="00FC6172" w:rsidRPr="000D7A58" w:rsidRDefault="00FC6172" w:rsidP="009E6AF7">
            <w:pPr>
              <w:jc w:val="center"/>
            </w:pPr>
            <w:r w:rsidRPr="000D7A58">
              <w:t>No increase</w:t>
            </w:r>
          </w:p>
        </w:tc>
        <w:tc>
          <w:tcPr>
            <w:tcW w:w="1583" w:type="dxa"/>
          </w:tcPr>
          <w:p w14:paraId="003E61DB" w14:textId="77777777" w:rsidR="00FC6172" w:rsidRPr="000D7A58" w:rsidRDefault="00FC6172" w:rsidP="009E6AF7">
            <w:pPr>
              <w:jc w:val="center"/>
            </w:pPr>
            <w:r w:rsidRPr="000D7A58">
              <w:t>No increase</w:t>
            </w:r>
          </w:p>
        </w:tc>
        <w:tc>
          <w:tcPr>
            <w:tcW w:w="1472" w:type="dxa"/>
          </w:tcPr>
          <w:p w14:paraId="743CB1B2" w14:textId="77777777" w:rsidR="00FC6172" w:rsidRPr="000D7A58" w:rsidRDefault="00FC6172" w:rsidP="009E6AF7">
            <w:pPr>
              <w:jc w:val="center"/>
              <w:rPr>
                <w:rFonts w:cstheme="minorHAnsi"/>
                <w:bCs/>
              </w:rPr>
            </w:pPr>
            <w:r w:rsidRPr="000D7A58">
              <w:rPr>
                <w:rFonts w:cstheme="minorHAnsi"/>
                <w:bCs/>
              </w:rPr>
              <w:t>No increase</w:t>
            </w:r>
          </w:p>
        </w:tc>
      </w:tr>
    </w:tbl>
    <w:p w14:paraId="7E8A6D29" w14:textId="5CE2460E" w:rsidR="00FC6172" w:rsidRDefault="00FC6172" w:rsidP="00FC6172">
      <w:pPr>
        <w:rPr>
          <w:rFonts w:cstheme="minorHAnsi"/>
          <w:bCs/>
        </w:rPr>
      </w:pPr>
    </w:p>
    <w:p w14:paraId="6FA66199" w14:textId="7D1C1861" w:rsidR="009E6AF7" w:rsidRDefault="009E6AF7" w:rsidP="00FC6172">
      <w:pPr>
        <w:rPr>
          <w:rFonts w:cstheme="minorHAnsi"/>
          <w:bCs/>
        </w:rPr>
      </w:pPr>
      <w:r>
        <w:rPr>
          <w:rFonts w:cstheme="minorHAnsi"/>
          <w:bCs/>
          <w:u w:val="single"/>
        </w:rPr>
        <w:t>Peer Institutions</w:t>
      </w:r>
      <w:r>
        <w:rPr>
          <w:rFonts w:cstheme="minorHAnsi"/>
          <w:bCs/>
        </w:rPr>
        <w:t xml:space="preserve">: </w:t>
      </w:r>
      <w:r w:rsidRPr="000D7A58">
        <w:rPr>
          <w:rFonts w:cstheme="minorHAnsi"/>
          <w:bCs/>
        </w:rPr>
        <w:t>COCC will compare its targets to those of our standard Oregon comparator schools: Linn-Benton Community College, Rogue Community College, Southwestern Oregon Community College, Lane Community College, and Umpqua Community College. Demographic data will be available for credit students only (it is not collected for noncredit students) and the team will use this to analyze any achievement gaps and identify supports to reduce those gaps.</w:t>
      </w:r>
    </w:p>
    <w:p w14:paraId="39E0311B" w14:textId="68C8B9FD" w:rsidR="009E6AF7" w:rsidRDefault="009E6AF7" w:rsidP="00FC6172">
      <w:pPr>
        <w:rPr>
          <w:rFonts w:cstheme="minorHAnsi"/>
          <w:bCs/>
        </w:rPr>
      </w:pPr>
    </w:p>
    <w:p w14:paraId="77940F4D" w14:textId="48D4EB82" w:rsidR="009E6AF7" w:rsidRPr="009E6AF7" w:rsidRDefault="009E6AF7" w:rsidP="00FC6172">
      <w:pPr>
        <w:rPr>
          <w:rFonts w:cstheme="minorHAnsi"/>
          <w:bCs/>
        </w:rPr>
      </w:pPr>
      <w:r>
        <w:rPr>
          <w:rFonts w:cstheme="minorHAnsi"/>
          <w:bCs/>
          <w:u w:val="single"/>
        </w:rPr>
        <w:t>Progress</w:t>
      </w:r>
      <w:r>
        <w:rPr>
          <w:rFonts w:cstheme="minorHAnsi"/>
          <w:bCs/>
        </w:rPr>
        <w:t>: In 2024-25, COCC met its target for credit student headcount, but did not do so for non-credit student headcount. Progress towards completion rates will not be available until after the end of spring term and therefore, overall progress towards this indicator is not yet available.</w:t>
      </w:r>
    </w:p>
    <w:p w14:paraId="1BA102E4" w14:textId="77777777" w:rsidR="009E6AF7" w:rsidRPr="009E6AF7" w:rsidRDefault="009E6AF7" w:rsidP="00FC6172">
      <w:pPr>
        <w:rPr>
          <w:rFonts w:cstheme="minorHAnsi"/>
          <w:bCs/>
        </w:rPr>
      </w:pPr>
    </w:p>
    <w:p w14:paraId="25785BC3" w14:textId="77777777" w:rsidR="00FC6172" w:rsidRPr="000D7A58" w:rsidRDefault="00FC6172" w:rsidP="00FC6172">
      <w:pPr>
        <w:shd w:val="clear" w:color="auto" w:fill="FFE599" w:themeFill="accent4" w:themeFillTint="66"/>
        <w:tabs>
          <w:tab w:val="right" w:pos="9360"/>
        </w:tabs>
        <w:rPr>
          <w:rFonts w:cstheme="minorHAnsi"/>
          <w:b/>
        </w:rPr>
      </w:pPr>
      <w:r w:rsidRPr="000D7A58">
        <w:rPr>
          <w:rFonts w:cstheme="minorHAnsi"/>
          <w:b/>
        </w:rPr>
        <w:t>Workforce Offerings: Programs and Classes</w:t>
      </w:r>
      <w:r w:rsidRPr="000D7A58">
        <w:rPr>
          <w:rFonts w:cstheme="minorHAnsi"/>
          <w:b/>
        </w:rPr>
        <w:tab/>
        <w:t>Annemarie Hamlin</w:t>
      </w:r>
    </w:p>
    <w:p w14:paraId="15652068" w14:textId="77777777" w:rsidR="00FC6172" w:rsidRPr="000D7A58" w:rsidRDefault="00FC6172" w:rsidP="00FC6172">
      <w:pPr>
        <w:rPr>
          <w:rFonts w:cstheme="minorHAnsi"/>
          <w:bCs/>
        </w:rPr>
      </w:pPr>
    </w:p>
    <w:p w14:paraId="63990414" w14:textId="0FB66A1C" w:rsidR="00FC6172" w:rsidRPr="000D7A58" w:rsidRDefault="00FC6172" w:rsidP="00FC6172">
      <w:pPr>
        <w:rPr>
          <w:rFonts w:cstheme="minorHAnsi"/>
          <w:bCs/>
          <w:u w:val="single"/>
        </w:rPr>
      </w:pPr>
      <w:r w:rsidRPr="000D7A58">
        <w:rPr>
          <w:rFonts w:cstheme="minorHAnsi"/>
          <w:bCs/>
          <w:u w:val="single"/>
        </w:rPr>
        <w:t>Rationale for Indicator</w:t>
      </w:r>
      <w:r w:rsidRPr="000D7A58">
        <w:rPr>
          <w:rFonts w:cstheme="minorHAnsi"/>
          <w:bCs/>
        </w:rPr>
        <w:t>: Staying aligned with regional workforce needs requires adjusting program</w:t>
      </w:r>
      <w:r w:rsidR="00E56563" w:rsidRPr="000D7A58">
        <w:rPr>
          <w:rFonts w:cstheme="minorHAnsi"/>
          <w:bCs/>
        </w:rPr>
        <w:t>s</w:t>
      </w:r>
      <w:r w:rsidRPr="000D7A58">
        <w:rPr>
          <w:rFonts w:cstheme="minorHAnsi"/>
          <w:bCs/>
        </w:rPr>
        <w:t xml:space="preserve"> or courses that train or upskill Central Oregon workers. As part of </w:t>
      </w:r>
      <w:r w:rsidR="00E56563" w:rsidRPr="000D7A58">
        <w:rPr>
          <w:rFonts w:cstheme="minorHAnsi"/>
          <w:bCs/>
        </w:rPr>
        <w:t>the College’s</w:t>
      </w:r>
      <w:r w:rsidRPr="000D7A58">
        <w:rPr>
          <w:rFonts w:cstheme="minorHAnsi"/>
          <w:bCs/>
        </w:rPr>
        <w:t xml:space="preserve"> commitment to meeting regional workforce needs, </w:t>
      </w:r>
      <w:r w:rsidR="00E56563" w:rsidRPr="000D7A58">
        <w:rPr>
          <w:rFonts w:cstheme="minorHAnsi"/>
          <w:bCs/>
        </w:rPr>
        <w:t xml:space="preserve">COCC </w:t>
      </w:r>
      <w:r w:rsidRPr="000D7A58">
        <w:rPr>
          <w:rFonts w:cstheme="minorHAnsi"/>
          <w:bCs/>
        </w:rPr>
        <w:t xml:space="preserve">will track growth in new classes and programs that respond to the varying needs of our communities and regional partners. </w:t>
      </w:r>
    </w:p>
    <w:p w14:paraId="003E6C5B" w14:textId="77777777" w:rsidR="00FC6172" w:rsidRPr="000D7A58" w:rsidRDefault="00FC6172" w:rsidP="00FC6172">
      <w:pPr>
        <w:rPr>
          <w:rFonts w:cstheme="minorHAnsi"/>
          <w:bCs/>
          <w:u w:val="single"/>
        </w:rPr>
      </w:pPr>
    </w:p>
    <w:p w14:paraId="75CF808C" w14:textId="6A08B185" w:rsidR="00FC6172" w:rsidRPr="000D7A58" w:rsidRDefault="00FC6172" w:rsidP="00FC6172">
      <w:pPr>
        <w:rPr>
          <w:rFonts w:cstheme="minorHAnsi"/>
          <w:bCs/>
          <w:u w:val="single"/>
        </w:rPr>
      </w:pPr>
      <w:r w:rsidRPr="000D7A58">
        <w:rPr>
          <w:rFonts w:cstheme="minorHAnsi"/>
          <w:bCs/>
          <w:u w:val="single"/>
        </w:rPr>
        <w:t>Definition</w:t>
      </w:r>
      <w:r w:rsidRPr="000D7A58">
        <w:rPr>
          <w:rFonts w:cstheme="minorHAnsi"/>
          <w:bCs/>
        </w:rPr>
        <w:t xml:space="preserve">: This indicator will measure the addition of any new program as well as the </w:t>
      </w:r>
      <w:r w:rsidR="00E56563" w:rsidRPr="000D7A58">
        <w:rPr>
          <w:rFonts w:cstheme="minorHAnsi"/>
          <w:bCs/>
        </w:rPr>
        <w:t>expan</w:t>
      </w:r>
      <w:r w:rsidR="00204499">
        <w:rPr>
          <w:rFonts w:cstheme="minorHAnsi"/>
          <w:bCs/>
        </w:rPr>
        <w:t>sion of</w:t>
      </w:r>
      <w:r w:rsidRPr="000D7A58">
        <w:rPr>
          <w:rFonts w:cstheme="minorHAnsi"/>
          <w:bCs/>
        </w:rPr>
        <w:t xml:space="preserve"> an existing program </w:t>
      </w:r>
      <w:r w:rsidR="00E56563" w:rsidRPr="000D7A58">
        <w:rPr>
          <w:rFonts w:cstheme="minorHAnsi"/>
          <w:bCs/>
        </w:rPr>
        <w:t xml:space="preserve">to </w:t>
      </w:r>
      <w:r w:rsidRPr="000D7A58">
        <w:rPr>
          <w:rFonts w:cstheme="minorHAnsi"/>
          <w:bCs/>
        </w:rPr>
        <w:t>a new location, such as nursing, medical assisting, and early childhood education in Madras. This includes credit and non-credit classes</w:t>
      </w:r>
      <w:r w:rsidR="00E56563" w:rsidRPr="000D7A58">
        <w:rPr>
          <w:rFonts w:cstheme="minorHAnsi"/>
          <w:bCs/>
        </w:rPr>
        <w:t xml:space="preserve"> and</w:t>
      </w:r>
      <w:r w:rsidRPr="000D7A58">
        <w:rPr>
          <w:rFonts w:cstheme="minorHAnsi"/>
          <w:bCs/>
        </w:rPr>
        <w:t xml:space="preserve"> programs. Aggregating all credit and non-credit offerings into one indicator is a recognition that serving workforce needs is the collective responsibility of the </w:t>
      </w:r>
      <w:r w:rsidR="00E56563" w:rsidRPr="000D7A58">
        <w:rPr>
          <w:rFonts w:cstheme="minorHAnsi"/>
          <w:bCs/>
        </w:rPr>
        <w:t>C</w:t>
      </w:r>
      <w:r w:rsidRPr="000D7A58">
        <w:rPr>
          <w:rFonts w:cstheme="minorHAnsi"/>
          <w:bCs/>
        </w:rPr>
        <w:t>ollege.</w:t>
      </w:r>
    </w:p>
    <w:p w14:paraId="3483827B" w14:textId="77777777" w:rsidR="00FC6172" w:rsidRPr="000D7A58" w:rsidRDefault="00FC6172" w:rsidP="00FC6172">
      <w:pPr>
        <w:rPr>
          <w:rFonts w:cstheme="minorHAnsi"/>
          <w:bCs/>
        </w:rPr>
      </w:pPr>
    </w:p>
    <w:p w14:paraId="380BDD4D" w14:textId="314EED9E" w:rsidR="00870C78" w:rsidRPr="00870C78" w:rsidRDefault="00FC6172" w:rsidP="00BB18B9">
      <w:pPr>
        <w:rPr>
          <w:rFonts w:cstheme="minorHAnsi"/>
          <w:bCs/>
        </w:rPr>
      </w:pPr>
      <w:r w:rsidRPr="000D7A58">
        <w:rPr>
          <w:rFonts w:cstheme="minorHAnsi"/>
          <w:bCs/>
          <w:u w:val="single"/>
        </w:rPr>
        <w:t>Targets</w:t>
      </w:r>
      <w:r w:rsidRPr="000D7A58">
        <w:rPr>
          <w:rFonts w:cstheme="minorHAnsi"/>
          <w:bCs/>
        </w:rPr>
        <w:t xml:space="preserve">: </w:t>
      </w:r>
      <w:r w:rsidR="00DC7299">
        <w:rPr>
          <w:rFonts w:cstheme="minorHAnsi"/>
          <w:bCs/>
        </w:rPr>
        <w:t>The Workforce Offerings indicator is a series of four sub-indicators: Credit CTE noncredit workforce courses, credit CTE programs, and noncredit training certificates</w:t>
      </w:r>
      <w:r w:rsidR="00870C78">
        <w:rPr>
          <w:rFonts w:cstheme="minorHAnsi"/>
          <w:bCs/>
        </w:rPr>
        <w:t>:</w:t>
      </w:r>
    </w:p>
    <w:p w14:paraId="39054FCB" w14:textId="51B95065" w:rsidR="00870C78" w:rsidRPr="00870C78" w:rsidRDefault="00870C78" w:rsidP="00BB18B9">
      <w:pPr>
        <w:rPr>
          <w:rFonts w:cstheme="minorHAnsi"/>
          <w:bCs/>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680"/>
        <w:gridCol w:w="1920"/>
        <w:gridCol w:w="1620"/>
        <w:gridCol w:w="1780"/>
      </w:tblGrid>
      <w:tr w:rsidR="00870C78" w:rsidRPr="00870C78" w14:paraId="7CACBD82" w14:textId="77777777" w:rsidTr="00870C78">
        <w:tc>
          <w:tcPr>
            <w:tcW w:w="1980" w:type="dxa"/>
            <w:tcBorders>
              <w:top w:val="nil"/>
              <w:left w:val="nil"/>
              <w:bottom w:val="double" w:sz="4" w:space="0" w:color="auto"/>
              <w:right w:val="single" w:sz="4" w:space="0" w:color="auto"/>
            </w:tcBorders>
            <w:shd w:val="clear" w:color="auto" w:fill="auto"/>
            <w:tcMar>
              <w:top w:w="15" w:type="dxa"/>
              <w:left w:w="108" w:type="dxa"/>
              <w:bottom w:w="0" w:type="dxa"/>
              <w:right w:w="108" w:type="dxa"/>
            </w:tcMar>
            <w:hideMark/>
          </w:tcPr>
          <w:p w14:paraId="122BC034" w14:textId="77777777" w:rsidR="00870C78" w:rsidRPr="00870C78" w:rsidRDefault="00870C78" w:rsidP="00870C78">
            <w:pPr>
              <w:rPr>
                <w:rFonts w:cstheme="minorHAnsi"/>
                <w:bCs/>
              </w:rPr>
            </w:pPr>
            <w:r w:rsidRPr="00870C78">
              <w:rPr>
                <w:rFonts w:cstheme="minorHAnsi"/>
                <w:b/>
                <w:bCs/>
              </w:rPr>
              <w:t> </w:t>
            </w:r>
          </w:p>
        </w:tc>
        <w:tc>
          <w:tcPr>
            <w:tcW w:w="1680" w:type="dxa"/>
            <w:tcBorders>
              <w:left w:val="single" w:sz="4" w:space="0" w:color="auto"/>
              <w:bottom w:val="double" w:sz="4" w:space="0" w:color="auto"/>
            </w:tcBorders>
            <w:shd w:val="clear" w:color="auto" w:fill="auto"/>
            <w:tcMar>
              <w:top w:w="15" w:type="dxa"/>
              <w:left w:w="108" w:type="dxa"/>
              <w:bottom w:w="0" w:type="dxa"/>
              <w:right w:w="108" w:type="dxa"/>
            </w:tcMar>
            <w:vAlign w:val="bottom"/>
            <w:hideMark/>
          </w:tcPr>
          <w:p w14:paraId="337951CF" w14:textId="77777777" w:rsidR="00870C78" w:rsidRPr="00870C78" w:rsidRDefault="00870C78" w:rsidP="00870C78">
            <w:pPr>
              <w:jc w:val="center"/>
              <w:rPr>
                <w:rFonts w:cstheme="minorHAnsi"/>
                <w:bCs/>
              </w:rPr>
            </w:pPr>
            <w:r w:rsidRPr="00870C78">
              <w:rPr>
                <w:rFonts w:cstheme="minorHAnsi"/>
                <w:bCs/>
              </w:rPr>
              <w:t>Noncredit Certificates</w:t>
            </w:r>
          </w:p>
        </w:tc>
        <w:tc>
          <w:tcPr>
            <w:tcW w:w="1920" w:type="dxa"/>
            <w:tcBorders>
              <w:bottom w:val="double" w:sz="4" w:space="0" w:color="auto"/>
            </w:tcBorders>
            <w:shd w:val="clear" w:color="auto" w:fill="auto"/>
            <w:tcMar>
              <w:top w:w="15" w:type="dxa"/>
              <w:left w:w="108" w:type="dxa"/>
              <w:bottom w:w="0" w:type="dxa"/>
              <w:right w:w="108" w:type="dxa"/>
            </w:tcMar>
            <w:vAlign w:val="bottom"/>
            <w:hideMark/>
          </w:tcPr>
          <w:p w14:paraId="50444542" w14:textId="77777777" w:rsidR="00870C78" w:rsidRPr="00870C78" w:rsidRDefault="00870C78" w:rsidP="00870C78">
            <w:pPr>
              <w:jc w:val="center"/>
              <w:rPr>
                <w:rFonts w:cstheme="minorHAnsi"/>
                <w:bCs/>
              </w:rPr>
            </w:pPr>
            <w:r w:rsidRPr="00870C78">
              <w:rPr>
                <w:rFonts w:cstheme="minorHAnsi"/>
                <w:bCs/>
              </w:rPr>
              <w:t>CTE Programs</w:t>
            </w:r>
          </w:p>
        </w:tc>
        <w:tc>
          <w:tcPr>
            <w:tcW w:w="1620" w:type="dxa"/>
            <w:tcBorders>
              <w:bottom w:val="double" w:sz="4" w:space="0" w:color="auto"/>
            </w:tcBorders>
            <w:shd w:val="clear" w:color="auto" w:fill="auto"/>
            <w:tcMar>
              <w:top w:w="15" w:type="dxa"/>
              <w:left w:w="108" w:type="dxa"/>
              <w:bottom w:w="0" w:type="dxa"/>
              <w:right w:w="108" w:type="dxa"/>
            </w:tcMar>
            <w:vAlign w:val="bottom"/>
            <w:hideMark/>
          </w:tcPr>
          <w:p w14:paraId="6621C902" w14:textId="77777777" w:rsidR="00870C78" w:rsidRPr="00870C78" w:rsidRDefault="00870C78" w:rsidP="00870C78">
            <w:pPr>
              <w:jc w:val="center"/>
              <w:rPr>
                <w:rFonts w:cstheme="minorHAnsi"/>
                <w:bCs/>
              </w:rPr>
            </w:pPr>
            <w:proofErr w:type="gramStart"/>
            <w:r w:rsidRPr="00870C78">
              <w:rPr>
                <w:rFonts w:cstheme="minorHAnsi"/>
                <w:bCs/>
              </w:rPr>
              <w:t>Noncredit  Courses</w:t>
            </w:r>
            <w:proofErr w:type="gramEnd"/>
          </w:p>
        </w:tc>
        <w:tc>
          <w:tcPr>
            <w:tcW w:w="1780" w:type="dxa"/>
            <w:tcBorders>
              <w:bottom w:val="double" w:sz="4" w:space="0" w:color="auto"/>
            </w:tcBorders>
            <w:shd w:val="clear" w:color="auto" w:fill="auto"/>
            <w:tcMar>
              <w:top w:w="15" w:type="dxa"/>
              <w:left w:w="108" w:type="dxa"/>
              <w:bottom w:w="0" w:type="dxa"/>
              <w:right w:w="108" w:type="dxa"/>
            </w:tcMar>
            <w:vAlign w:val="bottom"/>
            <w:hideMark/>
          </w:tcPr>
          <w:p w14:paraId="39293395" w14:textId="77777777" w:rsidR="00870C78" w:rsidRPr="00870C78" w:rsidRDefault="00870C78" w:rsidP="00870C78">
            <w:pPr>
              <w:jc w:val="center"/>
              <w:rPr>
                <w:rFonts w:cstheme="minorHAnsi"/>
                <w:bCs/>
              </w:rPr>
            </w:pPr>
            <w:r w:rsidRPr="00870C78">
              <w:rPr>
                <w:rFonts w:cstheme="minorHAnsi"/>
                <w:bCs/>
              </w:rPr>
              <w:t>CTE Courses</w:t>
            </w:r>
          </w:p>
        </w:tc>
      </w:tr>
      <w:tr w:rsidR="00870C78" w:rsidRPr="00870C78" w14:paraId="02221528" w14:textId="77777777" w:rsidTr="00870C78">
        <w:tc>
          <w:tcPr>
            <w:tcW w:w="1980" w:type="dxa"/>
            <w:tcBorders>
              <w:top w:val="double" w:sz="4" w:space="0" w:color="auto"/>
            </w:tcBorders>
            <w:shd w:val="clear" w:color="auto" w:fill="auto"/>
            <w:tcMar>
              <w:top w:w="15" w:type="dxa"/>
              <w:left w:w="108" w:type="dxa"/>
              <w:bottom w:w="0" w:type="dxa"/>
              <w:right w:w="108" w:type="dxa"/>
            </w:tcMar>
          </w:tcPr>
          <w:p w14:paraId="1ED7FD21" w14:textId="3EAE0753" w:rsidR="00870C78" w:rsidRPr="00870C78" w:rsidRDefault="00870C78" w:rsidP="00870C78">
            <w:pPr>
              <w:rPr>
                <w:rFonts w:cstheme="minorHAnsi"/>
              </w:rPr>
            </w:pPr>
            <w:r w:rsidRPr="00870C78">
              <w:rPr>
                <w:rFonts w:cstheme="minorHAnsi"/>
              </w:rPr>
              <w:t>2022-23 Baseline</w:t>
            </w:r>
          </w:p>
        </w:tc>
        <w:tc>
          <w:tcPr>
            <w:tcW w:w="1680" w:type="dxa"/>
            <w:tcBorders>
              <w:top w:val="double" w:sz="4" w:space="0" w:color="auto"/>
            </w:tcBorders>
            <w:shd w:val="clear" w:color="auto" w:fill="auto"/>
            <w:tcMar>
              <w:top w:w="15" w:type="dxa"/>
              <w:left w:w="108" w:type="dxa"/>
              <w:bottom w:w="0" w:type="dxa"/>
              <w:right w:w="108" w:type="dxa"/>
            </w:tcMar>
          </w:tcPr>
          <w:p w14:paraId="5F169B6D" w14:textId="6F64DA96" w:rsidR="00870C78" w:rsidRPr="00870C78" w:rsidRDefault="00870C78" w:rsidP="00870C78">
            <w:pPr>
              <w:jc w:val="center"/>
              <w:rPr>
                <w:rFonts w:cstheme="minorHAnsi"/>
                <w:bCs/>
              </w:rPr>
            </w:pPr>
            <w:r w:rsidRPr="00870C78">
              <w:rPr>
                <w:rFonts w:cstheme="minorHAnsi"/>
                <w:bCs/>
              </w:rPr>
              <w:t>11</w:t>
            </w:r>
          </w:p>
        </w:tc>
        <w:tc>
          <w:tcPr>
            <w:tcW w:w="1920" w:type="dxa"/>
            <w:tcBorders>
              <w:top w:val="double" w:sz="4" w:space="0" w:color="auto"/>
            </w:tcBorders>
            <w:shd w:val="clear" w:color="auto" w:fill="auto"/>
            <w:tcMar>
              <w:top w:w="15" w:type="dxa"/>
              <w:left w:w="108" w:type="dxa"/>
              <w:bottom w:w="0" w:type="dxa"/>
              <w:right w:w="108" w:type="dxa"/>
            </w:tcMar>
          </w:tcPr>
          <w:p w14:paraId="01558688" w14:textId="2428400B" w:rsidR="00870C78" w:rsidRPr="00870C78" w:rsidRDefault="00870C78" w:rsidP="00870C78">
            <w:pPr>
              <w:jc w:val="center"/>
              <w:rPr>
                <w:rFonts w:cstheme="minorHAnsi"/>
                <w:bCs/>
              </w:rPr>
            </w:pPr>
            <w:r w:rsidRPr="00870C78">
              <w:rPr>
                <w:rFonts w:cstheme="minorHAnsi"/>
                <w:bCs/>
              </w:rPr>
              <w:t>81</w:t>
            </w:r>
          </w:p>
        </w:tc>
        <w:tc>
          <w:tcPr>
            <w:tcW w:w="1620" w:type="dxa"/>
            <w:tcBorders>
              <w:top w:val="double" w:sz="4" w:space="0" w:color="auto"/>
            </w:tcBorders>
            <w:shd w:val="clear" w:color="auto" w:fill="auto"/>
            <w:tcMar>
              <w:top w:w="15" w:type="dxa"/>
              <w:left w:w="108" w:type="dxa"/>
              <w:bottom w:w="0" w:type="dxa"/>
              <w:right w:w="108" w:type="dxa"/>
            </w:tcMar>
          </w:tcPr>
          <w:p w14:paraId="4916D264" w14:textId="009CA8B8" w:rsidR="00870C78" w:rsidRPr="00870C78" w:rsidRDefault="00870C78" w:rsidP="00870C78">
            <w:pPr>
              <w:jc w:val="center"/>
              <w:rPr>
                <w:rFonts w:cstheme="minorHAnsi"/>
                <w:bCs/>
              </w:rPr>
            </w:pPr>
            <w:r w:rsidRPr="00870C78">
              <w:rPr>
                <w:rFonts w:cstheme="minorHAnsi"/>
                <w:bCs/>
              </w:rPr>
              <w:t>380</w:t>
            </w:r>
          </w:p>
        </w:tc>
        <w:tc>
          <w:tcPr>
            <w:tcW w:w="1780" w:type="dxa"/>
            <w:tcBorders>
              <w:top w:val="double" w:sz="4" w:space="0" w:color="auto"/>
            </w:tcBorders>
            <w:shd w:val="clear" w:color="auto" w:fill="auto"/>
            <w:tcMar>
              <w:top w:w="15" w:type="dxa"/>
              <w:left w:w="108" w:type="dxa"/>
              <w:bottom w:w="0" w:type="dxa"/>
              <w:right w:w="108" w:type="dxa"/>
            </w:tcMar>
          </w:tcPr>
          <w:p w14:paraId="0B922F02" w14:textId="78F776D3" w:rsidR="00870C78" w:rsidRPr="00870C78" w:rsidRDefault="00870C78" w:rsidP="00870C78">
            <w:pPr>
              <w:jc w:val="center"/>
              <w:rPr>
                <w:rFonts w:cstheme="minorHAnsi"/>
                <w:bCs/>
              </w:rPr>
            </w:pPr>
            <w:r w:rsidRPr="00870C78">
              <w:rPr>
                <w:rFonts w:cstheme="minorHAnsi"/>
                <w:bCs/>
              </w:rPr>
              <w:t>505</w:t>
            </w:r>
          </w:p>
        </w:tc>
      </w:tr>
      <w:tr w:rsidR="00870C78" w:rsidRPr="00870C78" w14:paraId="1FD2A5F2" w14:textId="77777777" w:rsidTr="00870C78">
        <w:tc>
          <w:tcPr>
            <w:tcW w:w="1980" w:type="dxa"/>
            <w:shd w:val="clear" w:color="auto" w:fill="auto"/>
            <w:tcMar>
              <w:top w:w="15" w:type="dxa"/>
              <w:left w:w="108" w:type="dxa"/>
              <w:bottom w:w="0" w:type="dxa"/>
              <w:right w:w="108" w:type="dxa"/>
            </w:tcMar>
            <w:hideMark/>
          </w:tcPr>
          <w:p w14:paraId="09EF1107" w14:textId="3A7952FC" w:rsidR="00870C78" w:rsidRPr="00870C78" w:rsidRDefault="00870C78" w:rsidP="00870C78">
            <w:pPr>
              <w:rPr>
                <w:rFonts w:cstheme="minorHAnsi"/>
              </w:rPr>
            </w:pPr>
            <w:r w:rsidRPr="00870C78">
              <w:rPr>
                <w:rFonts w:cstheme="minorHAnsi"/>
              </w:rPr>
              <w:t>2023-24 actual</w:t>
            </w:r>
          </w:p>
        </w:tc>
        <w:tc>
          <w:tcPr>
            <w:tcW w:w="1680" w:type="dxa"/>
            <w:shd w:val="clear" w:color="auto" w:fill="auto"/>
            <w:tcMar>
              <w:top w:w="15" w:type="dxa"/>
              <w:left w:w="108" w:type="dxa"/>
              <w:bottom w:w="0" w:type="dxa"/>
              <w:right w:w="108" w:type="dxa"/>
            </w:tcMar>
            <w:hideMark/>
          </w:tcPr>
          <w:p w14:paraId="336CE321" w14:textId="77777777" w:rsidR="00870C78" w:rsidRPr="00870C78" w:rsidRDefault="00870C78" w:rsidP="00870C78">
            <w:pPr>
              <w:jc w:val="center"/>
              <w:rPr>
                <w:rFonts w:cstheme="minorHAnsi"/>
                <w:bCs/>
              </w:rPr>
            </w:pPr>
            <w:r w:rsidRPr="00870C78">
              <w:rPr>
                <w:rFonts w:cstheme="minorHAnsi"/>
                <w:bCs/>
              </w:rPr>
              <w:t>2</w:t>
            </w:r>
          </w:p>
        </w:tc>
        <w:tc>
          <w:tcPr>
            <w:tcW w:w="1920" w:type="dxa"/>
            <w:shd w:val="clear" w:color="auto" w:fill="auto"/>
            <w:tcMar>
              <w:top w:w="15" w:type="dxa"/>
              <w:left w:w="108" w:type="dxa"/>
              <w:bottom w:w="0" w:type="dxa"/>
              <w:right w:w="108" w:type="dxa"/>
            </w:tcMar>
            <w:hideMark/>
          </w:tcPr>
          <w:p w14:paraId="73523B8E" w14:textId="77777777" w:rsidR="00870C78" w:rsidRPr="00870C78" w:rsidRDefault="00870C78" w:rsidP="00870C78">
            <w:pPr>
              <w:jc w:val="center"/>
              <w:rPr>
                <w:rFonts w:cstheme="minorHAnsi"/>
                <w:bCs/>
              </w:rPr>
            </w:pPr>
            <w:r w:rsidRPr="00870C78">
              <w:rPr>
                <w:rFonts w:cstheme="minorHAnsi"/>
                <w:bCs/>
              </w:rPr>
              <w:t>1</w:t>
            </w:r>
          </w:p>
        </w:tc>
        <w:tc>
          <w:tcPr>
            <w:tcW w:w="1620" w:type="dxa"/>
            <w:shd w:val="clear" w:color="auto" w:fill="auto"/>
            <w:tcMar>
              <w:top w:w="15" w:type="dxa"/>
              <w:left w:w="108" w:type="dxa"/>
              <w:bottom w:w="0" w:type="dxa"/>
              <w:right w:w="108" w:type="dxa"/>
            </w:tcMar>
            <w:hideMark/>
          </w:tcPr>
          <w:p w14:paraId="34C3BD3C" w14:textId="77777777" w:rsidR="00870C78" w:rsidRPr="00870C78" w:rsidRDefault="00870C78" w:rsidP="00870C78">
            <w:pPr>
              <w:jc w:val="center"/>
              <w:rPr>
                <w:rFonts w:cstheme="minorHAnsi"/>
                <w:bCs/>
              </w:rPr>
            </w:pPr>
            <w:r w:rsidRPr="00870C78">
              <w:rPr>
                <w:rFonts w:cstheme="minorHAnsi"/>
                <w:bCs/>
              </w:rPr>
              <w:t>53</w:t>
            </w:r>
          </w:p>
        </w:tc>
        <w:tc>
          <w:tcPr>
            <w:tcW w:w="1780" w:type="dxa"/>
            <w:shd w:val="clear" w:color="auto" w:fill="auto"/>
            <w:tcMar>
              <w:top w:w="15" w:type="dxa"/>
              <w:left w:w="108" w:type="dxa"/>
              <w:bottom w:w="0" w:type="dxa"/>
              <w:right w:w="108" w:type="dxa"/>
            </w:tcMar>
            <w:hideMark/>
          </w:tcPr>
          <w:p w14:paraId="543F6A02" w14:textId="77777777" w:rsidR="00870C78" w:rsidRPr="00870C78" w:rsidRDefault="00870C78" w:rsidP="00870C78">
            <w:pPr>
              <w:jc w:val="center"/>
              <w:rPr>
                <w:rFonts w:cstheme="minorHAnsi"/>
                <w:bCs/>
              </w:rPr>
            </w:pPr>
            <w:r w:rsidRPr="00870C78">
              <w:rPr>
                <w:rFonts w:cstheme="minorHAnsi"/>
                <w:bCs/>
              </w:rPr>
              <w:t>4</w:t>
            </w:r>
          </w:p>
        </w:tc>
      </w:tr>
      <w:tr w:rsidR="00870C78" w:rsidRPr="00870C78" w14:paraId="4272A968" w14:textId="77777777" w:rsidTr="00870C78">
        <w:tc>
          <w:tcPr>
            <w:tcW w:w="1980" w:type="dxa"/>
            <w:shd w:val="clear" w:color="auto" w:fill="auto"/>
            <w:tcMar>
              <w:top w:w="15" w:type="dxa"/>
              <w:left w:w="108" w:type="dxa"/>
              <w:bottom w:w="0" w:type="dxa"/>
              <w:right w:w="108" w:type="dxa"/>
            </w:tcMar>
            <w:hideMark/>
          </w:tcPr>
          <w:p w14:paraId="6F34F8DF" w14:textId="77777777" w:rsidR="00870C78" w:rsidRPr="00870C78" w:rsidRDefault="00870C78" w:rsidP="00870C78">
            <w:pPr>
              <w:rPr>
                <w:rFonts w:cstheme="minorHAnsi"/>
              </w:rPr>
            </w:pPr>
            <w:r w:rsidRPr="00870C78">
              <w:rPr>
                <w:rFonts w:cstheme="minorHAnsi"/>
              </w:rPr>
              <w:t>2024-25</w:t>
            </w:r>
          </w:p>
        </w:tc>
        <w:tc>
          <w:tcPr>
            <w:tcW w:w="1680" w:type="dxa"/>
            <w:shd w:val="clear" w:color="auto" w:fill="auto"/>
            <w:tcMar>
              <w:top w:w="15" w:type="dxa"/>
              <w:left w:w="108" w:type="dxa"/>
              <w:bottom w:w="0" w:type="dxa"/>
              <w:right w:w="108" w:type="dxa"/>
            </w:tcMar>
            <w:hideMark/>
          </w:tcPr>
          <w:p w14:paraId="5E3C798C" w14:textId="77777777" w:rsidR="00870C78" w:rsidRPr="00870C78" w:rsidRDefault="00870C78" w:rsidP="00870C78">
            <w:pPr>
              <w:jc w:val="center"/>
              <w:rPr>
                <w:rFonts w:cstheme="minorHAnsi"/>
                <w:bCs/>
              </w:rPr>
            </w:pPr>
            <w:r w:rsidRPr="00870C78">
              <w:rPr>
                <w:rFonts w:cstheme="minorHAnsi"/>
                <w:bCs/>
              </w:rPr>
              <w:t>+2</w:t>
            </w:r>
          </w:p>
        </w:tc>
        <w:tc>
          <w:tcPr>
            <w:tcW w:w="1920" w:type="dxa"/>
            <w:shd w:val="clear" w:color="auto" w:fill="auto"/>
            <w:tcMar>
              <w:top w:w="15" w:type="dxa"/>
              <w:left w:w="108" w:type="dxa"/>
              <w:bottom w:w="0" w:type="dxa"/>
              <w:right w:w="108" w:type="dxa"/>
            </w:tcMar>
            <w:hideMark/>
          </w:tcPr>
          <w:p w14:paraId="510FD77C" w14:textId="77777777" w:rsidR="00870C78" w:rsidRPr="00870C78" w:rsidRDefault="00870C78" w:rsidP="00870C78">
            <w:pPr>
              <w:jc w:val="center"/>
              <w:rPr>
                <w:rFonts w:cstheme="minorHAnsi"/>
                <w:bCs/>
              </w:rPr>
            </w:pPr>
            <w:r w:rsidRPr="00870C78">
              <w:rPr>
                <w:rFonts w:cstheme="minorHAnsi"/>
                <w:bCs/>
              </w:rPr>
              <w:t>+5</w:t>
            </w:r>
          </w:p>
        </w:tc>
        <w:tc>
          <w:tcPr>
            <w:tcW w:w="1620" w:type="dxa"/>
            <w:shd w:val="clear" w:color="auto" w:fill="auto"/>
            <w:tcMar>
              <w:top w:w="15" w:type="dxa"/>
              <w:left w:w="108" w:type="dxa"/>
              <w:bottom w:w="0" w:type="dxa"/>
              <w:right w:w="108" w:type="dxa"/>
            </w:tcMar>
            <w:hideMark/>
          </w:tcPr>
          <w:p w14:paraId="67CA91E7" w14:textId="77777777" w:rsidR="00870C78" w:rsidRPr="00870C78" w:rsidRDefault="00870C78" w:rsidP="00870C78">
            <w:pPr>
              <w:jc w:val="center"/>
              <w:rPr>
                <w:rFonts w:cstheme="minorHAnsi"/>
                <w:bCs/>
              </w:rPr>
            </w:pPr>
            <w:r w:rsidRPr="00870C78">
              <w:rPr>
                <w:rFonts w:cstheme="minorHAnsi"/>
                <w:bCs/>
              </w:rPr>
              <w:t>+3</w:t>
            </w:r>
          </w:p>
        </w:tc>
        <w:tc>
          <w:tcPr>
            <w:tcW w:w="1780" w:type="dxa"/>
            <w:shd w:val="clear" w:color="auto" w:fill="auto"/>
            <w:tcMar>
              <w:top w:w="15" w:type="dxa"/>
              <w:left w:w="108" w:type="dxa"/>
              <w:bottom w:w="0" w:type="dxa"/>
              <w:right w:w="108" w:type="dxa"/>
            </w:tcMar>
            <w:hideMark/>
          </w:tcPr>
          <w:p w14:paraId="614C2D4C" w14:textId="77777777" w:rsidR="00870C78" w:rsidRPr="00870C78" w:rsidRDefault="00870C78" w:rsidP="00870C78">
            <w:pPr>
              <w:jc w:val="center"/>
              <w:rPr>
                <w:rFonts w:cstheme="minorHAnsi"/>
                <w:bCs/>
              </w:rPr>
            </w:pPr>
            <w:r w:rsidRPr="00870C78">
              <w:rPr>
                <w:rFonts w:cstheme="minorHAnsi"/>
                <w:bCs/>
              </w:rPr>
              <w:t>+10</w:t>
            </w:r>
          </w:p>
        </w:tc>
      </w:tr>
      <w:tr w:rsidR="00870C78" w:rsidRPr="00870C78" w14:paraId="3482108E" w14:textId="77777777" w:rsidTr="00870C78">
        <w:tc>
          <w:tcPr>
            <w:tcW w:w="1980" w:type="dxa"/>
            <w:shd w:val="clear" w:color="auto" w:fill="auto"/>
            <w:tcMar>
              <w:top w:w="15" w:type="dxa"/>
              <w:left w:w="108" w:type="dxa"/>
              <w:bottom w:w="0" w:type="dxa"/>
              <w:right w:w="108" w:type="dxa"/>
            </w:tcMar>
            <w:hideMark/>
          </w:tcPr>
          <w:p w14:paraId="43D9CABB" w14:textId="77777777" w:rsidR="00870C78" w:rsidRPr="00870C78" w:rsidRDefault="00870C78" w:rsidP="00870C78">
            <w:pPr>
              <w:rPr>
                <w:rFonts w:cstheme="minorHAnsi"/>
              </w:rPr>
            </w:pPr>
            <w:r w:rsidRPr="00870C78">
              <w:rPr>
                <w:rFonts w:cstheme="minorHAnsi"/>
              </w:rPr>
              <w:t>2025-26</w:t>
            </w:r>
          </w:p>
        </w:tc>
        <w:tc>
          <w:tcPr>
            <w:tcW w:w="1680" w:type="dxa"/>
            <w:shd w:val="clear" w:color="auto" w:fill="auto"/>
            <w:tcMar>
              <w:top w:w="15" w:type="dxa"/>
              <w:left w:w="108" w:type="dxa"/>
              <w:bottom w:w="0" w:type="dxa"/>
              <w:right w:w="108" w:type="dxa"/>
            </w:tcMar>
            <w:hideMark/>
          </w:tcPr>
          <w:p w14:paraId="15433A82" w14:textId="77777777" w:rsidR="00870C78" w:rsidRPr="00870C78" w:rsidRDefault="00870C78" w:rsidP="00870C78">
            <w:pPr>
              <w:jc w:val="center"/>
              <w:rPr>
                <w:rFonts w:cstheme="minorHAnsi"/>
                <w:bCs/>
              </w:rPr>
            </w:pPr>
            <w:r w:rsidRPr="00870C78">
              <w:rPr>
                <w:rFonts w:cstheme="minorHAnsi"/>
                <w:bCs/>
              </w:rPr>
              <w:t>+4</w:t>
            </w:r>
          </w:p>
        </w:tc>
        <w:tc>
          <w:tcPr>
            <w:tcW w:w="1920" w:type="dxa"/>
            <w:shd w:val="clear" w:color="auto" w:fill="auto"/>
            <w:tcMar>
              <w:top w:w="15" w:type="dxa"/>
              <w:left w:w="108" w:type="dxa"/>
              <w:bottom w:w="0" w:type="dxa"/>
              <w:right w:w="108" w:type="dxa"/>
            </w:tcMar>
            <w:hideMark/>
          </w:tcPr>
          <w:p w14:paraId="4F284725" w14:textId="77777777" w:rsidR="00870C78" w:rsidRPr="00870C78" w:rsidRDefault="00870C78" w:rsidP="00870C78">
            <w:pPr>
              <w:jc w:val="center"/>
              <w:rPr>
                <w:rFonts w:cstheme="minorHAnsi"/>
                <w:bCs/>
              </w:rPr>
            </w:pPr>
            <w:r w:rsidRPr="00870C78">
              <w:rPr>
                <w:rFonts w:cstheme="minorHAnsi"/>
                <w:bCs/>
              </w:rPr>
              <w:t>+3</w:t>
            </w:r>
          </w:p>
        </w:tc>
        <w:tc>
          <w:tcPr>
            <w:tcW w:w="1620" w:type="dxa"/>
            <w:shd w:val="clear" w:color="auto" w:fill="auto"/>
            <w:tcMar>
              <w:top w:w="15" w:type="dxa"/>
              <w:left w:w="108" w:type="dxa"/>
              <w:bottom w:w="0" w:type="dxa"/>
              <w:right w:w="108" w:type="dxa"/>
            </w:tcMar>
            <w:hideMark/>
          </w:tcPr>
          <w:p w14:paraId="573E3FF0" w14:textId="77777777" w:rsidR="00870C78" w:rsidRPr="00870C78" w:rsidRDefault="00870C78" w:rsidP="00870C78">
            <w:pPr>
              <w:jc w:val="center"/>
              <w:rPr>
                <w:rFonts w:cstheme="minorHAnsi"/>
                <w:bCs/>
              </w:rPr>
            </w:pPr>
            <w:r w:rsidRPr="00870C78">
              <w:rPr>
                <w:rFonts w:cstheme="minorHAnsi"/>
                <w:bCs/>
              </w:rPr>
              <w:t>+3</w:t>
            </w:r>
          </w:p>
        </w:tc>
        <w:tc>
          <w:tcPr>
            <w:tcW w:w="1780" w:type="dxa"/>
            <w:shd w:val="clear" w:color="auto" w:fill="auto"/>
            <w:tcMar>
              <w:top w:w="15" w:type="dxa"/>
              <w:left w:w="108" w:type="dxa"/>
              <w:bottom w:w="0" w:type="dxa"/>
              <w:right w:w="108" w:type="dxa"/>
            </w:tcMar>
            <w:hideMark/>
          </w:tcPr>
          <w:p w14:paraId="0A27D0CD" w14:textId="77777777" w:rsidR="00870C78" w:rsidRPr="00870C78" w:rsidRDefault="00870C78" w:rsidP="00870C78">
            <w:pPr>
              <w:jc w:val="center"/>
              <w:rPr>
                <w:rFonts w:cstheme="minorHAnsi"/>
                <w:bCs/>
              </w:rPr>
            </w:pPr>
            <w:r w:rsidRPr="00870C78">
              <w:rPr>
                <w:rFonts w:cstheme="minorHAnsi"/>
                <w:bCs/>
              </w:rPr>
              <w:t>+5</w:t>
            </w:r>
          </w:p>
        </w:tc>
      </w:tr>
      <w:tr w:rsidR="00870C78" w:rsidRPr="00870C78" w14:paraId="29C39475" w14:textId="77777777" w:rsidTr="00870C78">
        <w:tc>
          <w:tcPr>
            <w:tcW w:w="1980" w:type="dxa"/>
            <w:shd w:val="clear" w:color="auto" w:fill="auto"/>
            <w:tcMar>
              <w:top w:w="15" w:type="dxa"/>
              <w:left w:w="108" w:type="dxa"/>
              <w:bottom w:w="0" w:type="dxa"/>
              <w:right w:w="108" w:type="dxa"/>
            </w:tcMar>
            <w:hideMark/>
          </w:tcPr>
          <w:p w14:paraId="7CC1E762" w14:textId="77777777" w:rsidR="00870C78" w:rsidRPr="00870C78" w:rsidRDefault="00870C78" w:rsidP="00870C78">
            <w:pPr>
              <w:rPr>
                <w:rFonts w:cstheme="minorHAnsi"/>
              </w:rPr>
            </w:pPr>
            <w:r w:rsidRPr="00870C78">
              <w:rPr>
                <w:rFonts w:cstheme="minorHAnsi"/>
              </w:rPr>
              <w:t>2026-27</w:t>
            </w:r>
          </w:p>
        </w:tc>
        <w:tc>
          <w:tcPr>
            <w:tcW w:w="1680" w:type="dxa"/>
            <w:shd w:val="clear" w:color="auto" w:fill="auto"/>
            <w:tcMar>
              <w:top w:w="15" w:type="dxa"/>
              <w:left w:w="108" w:type="dxa"/>
              <w:bottom w:w="0" w:type="dxa"/>
              <w:right w:w="108" w:type="dxa"/>
            </w:tcMar>
            <w:hideMark/>
          </w:tcPr>
          <w:p w14:paraId="35D6859A" w14:textId="77777777" w:rsidR="00870C78" w:rsidRPr="00870C78" w:rsidRDefault="00870C78" w:rsidP="00870C78">
            <w:pPr>
              <w:jc w:val="center"/>
              <w:rPr>
                <w:rFonts w:cstheme="minorHAnsi"/>
                <w:bCs/>
              </w:rPr>
            </w:pPr>
            <w:r w:rsidRPr="00870C78">
              <w:rPr>
                <w:rFonts w:cstheme="minorHAnsi"/>
                <w:bCs/>
              </w:rPr>
              <w:t>+2</w:t>
            </w:r>
          </w:p>
        </w:tc>
        <w:tc>
          <w:tcPr>
            <w:tcW w:w="1920" w:type="dxa"/>
            <w:shd w:val="clear" w:color="auto" w:fill="auto"/>
            <w:tcMar>
              <w:top w:w="15" w:type="dxa"/>
              <w:left w:w="108" w:type="dxa"/>
              <w:bottom w:w="0" w:type="dxa"/>
              <w:right w:w="108" w:type="dxa"/>
            </w:tcMar>
            <w:hideMark/>
          </w:tcPr>
          <w:p w14:paraId="01D0271C" w14:textId="77777777" w:rsidR="00870C78" w:rsidRPr="00870C78" w:rsidRDefault="00870C78" w:rsidP="00870C78">
            <w:pPr>
              <w:jc w:val="center"/>
              <w:rPr>
                <w:rFonts w:cstheme="minorHAnsi"/>
                <w:bCs/>
              </w:rPr>
            </w:pPr>
            <w:r w:rsidRPr="00870C78">
              <w:rPr>
                <w:rFonts w:cstheme="minorHAnsi"/>
                <w:bCs/>
              </w:rPr>
              <w:t>+3</w:t>
            </w:r>
          </w:p>
        </w:tc>
        <w:tc>
          <w:tcPr>
            <w:tcW w:w="1620" w:type="dxa"/>
            <w:shd w:val="clear" w:color="auto" w:fill="auto"/>
            <w:tcMar>
              <w:top w:w="15" w:type="dxa"/>
              <w:left w:w="108" w:type="dxa"/>
              <w:bottom w:w="0" w:type="dxa"/>
              <w:right w:w="108" w:type="dxa"/>
            </w:tcMar>
            <w:hideMark/>
          </w:tcPr>
          <w:p w14:paraId="29791F8F" w14:textId="77777777" w:rsidR="00870C78" w:rsidRPr="00870C78" w:rsidRDefault="00870C78" w:rsidP="00870C78">
            <w:pPr>
              <w:jc w:val="center"/>
              <w:rPr>
                <w:rFonts w:cstheme="minorHAnsi"/>
                <w:bCs/>
              </w:rPr>
            </w:pPr>
            <w:r w:rsidRPr="00870C78">
              <w:rPr>
                <w:rFonts w:cstheme="minorHAnsi"/>
                <w:bCs/>
              </w:rPr>
              <w:t>+3</w:t>
            </w:r>
          </w:p>
        </w:tc>
        <w:tc>
          <w:tcPr>
            <w:tcW w:w="1780" w:type="dxa"/>
            <w:shd w:val="clear" w:color="auto" w:fill="auto"/>
            <w:tcMar>
              <w:top w:w="15" w:type="dxa"/>
              <w:left w:w="108" w:type="dxa"/>
              <w:bottom w:w="0" w:type="dxa"/>
              <w:right w:w="108" w:type="dxa"/>
            </w:tcMar>
            <w:hideMark/>
          </w:tcPr>
          <w:p w14:paraId="26BC883F" w14:textId="77777777" w:rsidR="00870C78" w:rsidRPr="00870C78" w:rsidRDefault="00870C78" w:rsidP="00870C78">
            <w:pPr>
              <w:jc w:val="center"/>
              <w:rPr>
                <w:rFonts w:cstheme="minorHAnsi"/>
                <w:bCs/>
              </w:rPr>
            </w:pPr>
            <w:r w:rsidRPr="00870C78">
              <w:rPr>
                <w:rFonts w:cstheme="minorHAnsi"/>
                <w:bCs/>
              </w:rPr>
              <w:t>+5</w:t>
            </w:r>
          </w:p>
        </w:tc>
      </w:tr>
    </w:tbl>
    <w:p w14:paraId="00D6BC0B" w14:textId="02777B8F" w:rsidR="00DC7299" w:rsidRDefault="00DC7299" w:rsidP="00BB18B9">
      <w:pPr>
        <w:rPr>
          <w:rFonts w:cstheme="minorHAnsi"/>
          <w:bCs/>
        </w:rPr>
      </w:pPr>
    </w:p>
    <w:p w14:paraId="0AAE726C" w14:textId="6A8F2710" w:rsidR="00FC6172" w:rsidRDefault="00DC7299" w:rsidP="00DC7299">
      <w:pPr>
        <w:rPr>
          <w:rFonts w:cstheme="minorHAnsi"/>
          <w:bCs/>
        </w:rPr>
      </w:pPr>
      <w:r>
        <w:rPr>
          <w:rFonts w:cstheme="minorHAnsi"/>
          <w:bCs/>
        </w:rPr>
        <w:t>Sub-indicator t</w:t>
      </w:r>
      <w:r w:rsidR="00BB18B9">
        <w:rPr>
          <w:rFonts w:cstheme="minorHAnsi"/>
          <w:bCs/>
        </w:rPr>
        <w:t xml:space="preserve">argets for 2025-26 </w:t>
      </w:r>
      <w:r w:rsidR="00204499">
        <w:rPr>
          <w:rFonts w:cstheme="minorHAnsi"/>
          <w:bCs/>
        </w:rPr>
        <w:t xml:space="preserve">were </w:t>
      </w:r>
      <w:r w:rsidR="00BB18B9">
        <w:rPr>
          <w:rFonts w:cstheme="minorHAnsi"/>
          <w:bCs/>
        </w:rPr>
        <w:t>based on known plans for the academic year, noting that future year targets may be adjusted based on findings from the regional needs analysis (see Workforce Infrastructure Action Team report for details).</w:t>
      </w:r>
      <w:r w:rsidR="00FC6172" w:rsidRPr="000D7A58">
        <w:rPr>
          <w:rFonts w:cstheme="minorHAnsi"/>
          <w:bCs/>
        </w:rPr>
        <w:t xml:space="preserve"> </w:t>
      </w:r>
    </w:p>
    <w:p w14:paraId="083FE84B" w14:textId="77777777" w:rsidR="00DC7299" w:rsidRDefault="00DC7299" w:rsidP="00DC7299">
      <w:pPr>
        <w:rPr>
          <w:rFonts w:cstheme="minorHAnsi"/>
          <w:bCs/>
        </w:rPr>
      </w:pPr>
    </w:p>
    <w:p w14:paraId="26C29E1D" w14:textId="2AB36BDF" w:rsidR="00BB18B9" w:rsidRPr="00BB18B9" w:rsidRDefault="00BB18B9" w:rsidP="00BB18B9">
      <w:pPr>
        <w:rPr>
          <w:rFonts w:cstheme="minorHAnsi"/>
          <w:bCs/>
        </w:rPr>
      </w:pPr>
      <w:r>
        <w:rPr>
          <w:rFonts w:cstheme="minorHAnsi"/>
          <w:bCs/>
          <w:u w:val="single"/>
        </w:rPr>
        <w:t>Peer Institutions</w:t>
      </w:r>
      <w:r>
        <w:rPr>
          <w:rFonts w:cstheme="minorHAnsi"/>
          <w:bCs/>
        </w:rPr>
        <w:t xml:space="preserve">: </w:t>
      </w:r>
      <w:r w:rsidRPr="000D7A58">
        <w:rPr>
          <w:rFonts w:cstheme="minorHAnsi"/>
          <w:bCs/>
        </w:rPr>
        <w:t xml:space="preserve">Since this indicator is focused on growth of </w:t>
      </w:r>
      <w:r w:rsidR="00870C78">
        <w:rPr>
          <w:rFonts w:cstheme="minorHAnsi"/>
          <w:bCs/>
        </w:rPr>
        <w:t>COCC</w:t>
      </w:r>
      <w:r w:rsidRPr="000D7A58">
        <w:rPr>
          <w:rFonts w:cstheme="minorHAnsi"/>
          <w:bCs/>
        </w:rPr>
        <w:t xml:space="preserve"> offerings, data from comparator institutions is not currently a factor.</w:t>
      </w:r>
    </w:p>
    <w:p w14:paraId="451737C0" w14:textId="77777777" w:rsidR="00BB18B9" w:rsidRPr="000D7A58" w:rsidRDefault="00BB18B9" w:rsidP="00FC6172">
      <w:pPr>
        <w:rPr>
          <w:rFonts w:cstheme="minorHAnsi"/>
          <w:bCs/>
        </w:rPr>
      </w:pPr>
    </w:p>
    <w:p w14:paraId="2EE85370" w14:textId="264C2969" w:rsidR="00BB18B9" w:rsidRDefault="00BB18B9" w:rsidP="00FC6172">
      <w:pPr>
        <w:rPr>
          <w:rFonts w:cstheme="minorHAnsi"/>
          <w:bCs/>
        </w:rPr>
      </w:pPr>
      <w:r w:rsidRPr="00BB18B9">
        <w:rPr>
          <w:rFonts w:cstheme="minorHAnsi"/>
          <w:bCs/>
          <w:u w:val="single"/>
        </w:rPr>
        <w:lastRenderedPageBreak/>
        <w:t>Progress</w:t>
      </w:r>
      <w:r>
        <w:rPr>
          <w:rFonts w:cstheme="minorHAnsi"/>
          <w:bCs/>
        </w:rPr>
        <w:t>: COCC added 10 new credit workforce courses</w:t>
      </w:r>
      <w:r w:rsidR="00AE33DB">
        <w:rPr>
          <w:rFonts w:cstheme="minorHAnsi"/>
          <w:bCs/>
        </w:rPr>
        <w:t>, eight new non</w:t>
      </w:r>
      <w:r w:rsidR="00870C78">
        <w:rPr>
          <w:rFonts w:cstheme="minorHAnsi"/>
          <w:bCs/>
        </w:rPr>
        <w:t>-</w:t>
      </w:r>
      <w:r w:rsidR="00AE33DB">
        <w:rPr>
          <w:rFonts w:cstheme="minorHAnsi"/>
          <w:bCs/>
        </w:rPr>
        <w:t>credit training certificates,</w:t>
      </w:r>
      <w:r>
        <w:rPr>
          <w:rFonts w:cstheme="minorHAnsi"/>
          <w:bCs/>
        </w:rPr>
        <w:t xml:space="preserve"> and five new credit CTE workforce programs in 2025-26:</w:t>
      </w:r>
    </w:p>
    <w:p w14:paraId="43126420" w14:textId="3397EB01" w:rsidR="00BB18B9" w:rsidRDefault="00BB18B9" w:rsidP="00FC6172">
      <w:pPr>
        <w:rPr>
          <w:rFonts w:cstheme="minorHAnsi"/>
          <w:bCs/>
        </w:rPr>
      </w:pPr>
    </w:p>
    <w:tbl>
      <w:tblPr>
        <w:tblStyle w:val="TableGrid"/>
        <w:tblW w:w="0" w:type="auto"/>
        <w:tblLook w:val="04A0" w:firstRow="1" w:lastRow="0" w:firstColumn="1" w:lastColumn="0" w:noHBand="0" w:noVBand="1"/>
      </w:tblPr>
      <w:tblGrid>
        <w:gridCol w:w="2709"/>
        <w:gridCol w:w="3593"/>
        <w:gridCol w:w="3048"/>
      </w:tblGrid>
      <w:tr w:rsidR="00870C78" w:rsidRPr="00BB18B9" w14:paraId="08CDDBF3" w14:textId="200D4F62" w:rsidTr="00870C78">
        <w:tc>
          <w:tcPr>
            <w:tcW w:w="2709" w:type="dxa"/>
          </w:tcPr>
          <w:p w14:paraId="0C1E7DD4" w14:textId="01B5AEA2" w:rsidR="00870C78" w:rsidRPr="00BB18B9" w:rsidRDefault="00870C78" w:rsidP="00BB18B9">
            <w:pPr>
              <w:jc w:val="center"/>
              <w:rPr>
                <w:color w:val="000000"/>
                <w:sz w:val="20"/>
                <w:szCs w:val="20"/>
              </w:rPr>
            </w:pPr>
            <w:r>
              <w:rPr>
                <w:color w:val="000000"/>
                <w:sz w:val="20"/>
                <w:szCs w:val="20"/>
              </w:rPr>
              <w:t>Credit Courses</w:t>
            </w:r>
          </w:p>
        </w:tc>
        <w:tc>
          <w:tcPr>
            <w:tcW w:w="3593" w:type="dxa"/>
          </w:tcPr>
          <w:p w14:paraId="499AE21F" w14:textId="681A365F" w:rsidR="00870C78" w:rsidRPr="00BB18B9" w:rsidRDefault="00870C78" w:rsidP="00BB18B9">
            <w:pPr>
              <w:jc w:val="center"/>
              <w:rPr>
                <w:color w:val="000000"/>
                <w:sz w:val="20"/>
                <w:szCs w:val="20"/>
              </w:rPr>
            </w:pPr>
            <w:r>
              <w:rPr>
                <w:color w:val="000000"/>
                <w:sz w:val="20"/>
                <w:szCs w:val="20"/>
              </w:rPr>
              <w:t>Credit Programs</w:t>
            </w:r>
          </w:p>
        </w:tc>
        <w:tc>
          <w:tcPr>
            <w:tcW w:w="3048" w:type="dxa"/>
          </w:tcPr>
          <w:p w14:paraId="39AB1F25" w14:textId="56170DA8" w:rsidR="00870C78" w:rsidRDefault="00870C78" w:rsidP="00BB18B9">
            <w:pPr>
              <w:jc w:val="center"/>
              <w:rPr>
                <w:color w:val="000000"/>
                <w:sz w:val="20"/>
                <w:szCs w:val="20"/>
              </w:rPr>
            </w:pPr>
            <w:r>
              <w:rPr>
                <w:color w:val="000000"/>
                <w:sz w:val="20"/>
                <w:szCs w:val="20"/>
              </w:rPr>
              <w:t>Non-Credit Certificates</w:t>
            </w:r>
          </w:p>
        </w:tc>
      </w:tr>
      <w:tr w:rsidR="00870C78" w:rsidRPr="00BB18B9" w14:paraId="78F66C47" w14:textId="74D69F49" w:rsidTr="006C7221">
        <w:tc>
          <w:tcPr>
            <w:tcW w:w="2709" w:type="dxa"/>
          </w:tcPr>
          <w:p w14:paraId="2708000B" w14:textId="77777777" w:rsidR="00870C78" w:rsidRPr="00BB18B9" w:rsidRDefault="00870C78" w:rsidP="00870C78">
            <w:pPr>
              <w:rPr>
                <w:color w:val="000000"/>
                <w:sz w:val="20"/>
                <w:szCs w:val="20"/>
              </w:rPr>
            </w:pPr>
            <w:r w:rsidRPr="00BB18B9">
              <w:rPr>
                <w:color w:val="000000"/>
                <w:sz w:val="20"/>
                <w:szCs w:val="20"/>
              </w:rPr>
              <w:t>APR 100: Trade Skills Fundamentals</w:t>
            </w:r>
          </w:p>
        </w:tc>
        <w:tc>
          <w:tcPr>
            <w:tcW w:w="3593" w:type="dxa"/>
          </w:tcPr>
          <w:p w14:paraId="49BB77A0" w14:textId="1C7F6ADF" w:rsidR="00870C78" w:rsidRPr="00BB18B9" w:rsidRDefault="00870C78" w:rsidP="00870C78">
            <w:pPr>
              <w:tabs>
                <w:tab w:val="left" w:pos="1270"/>
              </w:tabs>
              <w:rPr>
                <w:color w:val="000000"/>
                <w:sz w:val="20"/>
                <w:szCs w:val="20"/>
              </w:rPr>
            </w:pPr>
            <w:r w:rsidRPr="0014130F">
              <w:rPr>
                <w:sz w:val="20"/>
                <w:szCs w:val="20"/>
              </w:rPr>
              <w:t>Construction Trades and Apprenticeship Readiness</w:t>
            </w:r>
          </w:p>
        </w:tc>
        <w:tc>
          <w:tcPr>
            <w:tcW w:w="3048" w:type="dxa"/>
          </w:tcPr>
          <w:p w14:paraId="68A9B358" w14:textId="22815293" w:rsidR="00870C78" w:rsidRPr="0014130F" w:rsidRDefault="00870C78" w:rsidP="006C7221">
            <w:pPr>
              <w:tabs>
                <w:tab w:val="left" w:pos="1270"/>
              </w:tabs>
              <w:rPr>
                <w:sz w:val="20"/>
                <w:szCs w:val="20"/>
              </w:rPr>
            </w:pPr>
            <w:r w:rsidRPr="00F01EC7">
              <w:rPr>
                <w:color w:val="000000"/>
                <w:sz w:val="20"/>
                <w:szCs w:val="20"/>
              </w:rPr>
              <w:t>CompTIA A+ Accelerator</w:t>
            </w:r>
          </w:p>
        </w:tc>
      </w:tr>
      <w:tr w:rsidR="00870C78" w:rsidRPr="00BB18B9" w14:paraId="6C9FF482" w14:textId="515232AD" w:rsidTr="006C7221">
        <w:tc>
          <w:tcPr>
            <w:tcW w:w="2709" w:type="dxa"/>
          </w:tcPr>
          <w:p w14:paraId="20A4C82C" w14:textId="77777777" w:rsidR="00870C78" w:rsidRPr="00BB18B9" w:rsidRDefault="00870C78" w:rsidP="00870C78">
            <w:pPr>
              <w:rPr>
                <w:color w:val="000000"/>
                <w:sz w:val="20"/>
                <w:szCs w:val="20"/>
              </w:rPr>
            </w:pPr>
            <w:r w:rsidRPr="00BB18B9">
              <w:rPr>
                <w:color w:val="000000"/>
                <w:sz w:val="20"/>
                <w:szCs w:val="20"/>
              </w:rPr>
              <w:t>APR 105: Skilled Trades Career Builder</w:t>
            </w:r>
          </w:p>
        </w:tc>
        <w:tc>
          <w:tcPr>
            <w:tcW w:w="3593" w:type="dxa"/>
          </w:tcPr>
          <w:p w14:paraId="0617A711" w14:textId="52C29504" w:rsidR="00870C78" w:rsidRPr="00BB18B9" w:rsidRDefault="00870C78" w:rsidP="00870C78">
            <w:pPr>
              <w:rPr>
                <w:color w:val="000000"/>
                <w:sz w:val="20"/>
                <w:szCs w:val="20"/>
              </w:rPr>
            </w:pPr>
            <w:r w:rsidRPr="0014130F">
              <w:rPr>
                <w:color w:val="000000"/>
                <w:sz w:val="20"/>
                <w:szCs w:val="20"/>
              </w:rPr>
              <w:t xml:space="preserve">Foundations of Licensure in Education Career Foundations </w:t>
            </w:r>
          </w:p>
        </w:tc>
        <w:tc>
          <w:tcPr>
            <w:tcW w:w="3048" w:type="dxa"/>
          </w:tcPr>
          <w:p w14:paraId="596EEC6A" w14:textId="5649930A" w:rsidR="00870C78" w:rsidRPr="0014130F" w:rsidRDefault="00870C78" w:rsidP="006C7221">
            <w:pPr>
              <w:rPr>
                <w:color w:val="000000"/>
                <w:sz w:val="20"/>
                <w:szCs w:val="20"/>
              </w:rPr>
            </w:pPr>
            <w:r w:rsidRPr="00F01EC7">
              <w:rPr>
                <w:color w:val="000000"/>
                <w:sz w:val="20"/>
                <w:szCs w:val="20"/>
              </w:rPr>
              <w:t>CompTIA IT Fundamentals Accelerator</w:t>
            </w:r>
          </w:p>
        </w:tc>
      </w:tr>
      <w:tr w:rsidR="00870C78" w:rsidRPr="00BB18B9" w14:paraId="310C9CFE" w14:textId="0F7088FC" w:rsidTr="006C7221">
        <w:tc>
          <w:tcPr>
            <w:tcW w:w="2709" w:type="dxa"/>
          </w:tcPr>
          <w:p w14:paraId="4F7405BA" w14:textId="77777777" w:rsidR="00870C78" w:rsidRPr="00BB18B9" w:rsidRDefault="00870C78" w:rsidP="00870C78">
            <w:pPr>
              <w:rPr>
                <w:color w:val="000000"/>
                <w:sz w:val="20"/>
                <w:szCs w:val="20"/>
              </w:rPr>
            </w:pPr>
            <w:r w:rsidRPr="00BB18B9">
              <w:rPr>
                <w:color w:val="000000"/>
                <w:sz w:val="20"/>
                <w:szCs w:val="20"/>
              </w:rPr>
              <w:t>BAK 130: Nutrition/Special Diets Baking</w:t>
            </w:r>
          </w:p>
        </w:tc>
        <w:tc>
          <w:tcPr>
            <w:tcW w:w="3593" w:type="dxa"/>
          </w:tcPr>
          <w:p w14:paraId="09C48768" w14:textId="5A3D3589" w:rsidR="00870C78" w:rsidRPr="00BB18B9" w:rsidRDefault="00870C78" w:rsidP="00870C78">
            <w:pPr>
              <w:rPr>
                <w:color w:val="000000"/>
                <w:sz w:val="20"/>
                <w:szCs w:val="20"/>
              </w:rPr>
            </w:pPr>
            <w:r w:rsidRPr="0014130F">
              <w:rPr>
                <w:sz w:val="20"/>
                <w:szCs w:val="20"/>
              </w:rPr>
              <w:t>Automotive Maintenance and Light Repair</w:t>
            </w:r>
          </w:p>
        </w:tc>
        <w:tc>
          <w:tcPr>
            <w:tcW w:w="3048" w:type="dxa"/>
          </w:tcPr>
          <w:p w14:paraId="6B43E34B" w14:textId="5F9AC4F7" w:rsidR="00870C78" w:rsidRPr="0014130F" w:rsidRDefault="00870C78" w:rsidP="006C7221">
            <w:pPr>
              <w:rPr>
                <w:sz w:val="20"/>
                <w:szCs w:val="20"/>
              </w:rPr>
            </w:pPr>
            <w:r w:rsidRPr="00F01EC7">
              <w:rPr>
                <w:color w:val="000000"/>
                <w:sz w:val="20"/>
                <w:szCs w:val="20"/>
              </w:rPr>
              <w:t>Construction Trades and Apprenticeship Readiness</w:t>
            </w:r>
          </w:p>
        </w:tc>
      </w:tr>
      <w:tr w:rsidR="00870C78" w:rsidRPr="00BB18B9" w14:paraId="406A5333" w14:textId="2673937B" w:rsidTr="006C7221">
        <w:tc>
          <w:tcPr>
            <w:tcW w:w="2709" w:type="dxa"/>
          </w:tcPr>
          <w:p w14:paraId="4BEF8FBE" w14:textId="77777777" w:rsidR="00870C78" w:rsidRPr="00BB18B9" w:rsidRDefault="00870C78" w:rsidP="00870C78">
            <w:pPr>
              <w:rPr>
                <w:color w:val="000000"/>
                <w:sz w:val="20"/>
                <w:szCs w:val="20"/>
              </w:rPr>
            </w:pPr>
            <w:r w:rsidRPr="00BB18B9">
              <w:rPr>
                <w:color w:val="000000"/>
                <w:sz w:val="20"/>
                <w:szCs w:val="20"/>
              </w:rPr>
              <w:t>CIS 183C: Intro to Cybersecurity</w:t>
            </w:r>
          </w:p>
        </w:tc>
        <w:tc>
          <w:tcPr>
            <w:tcW w:w="3593" w:type="dxa"/>
          </w:tcPr>
          <w:p w14:paraId="223DA462" w14:textId="22851599" w:rsidR="00870C78" w:rsidRPr="00BB18B9" w:rsidRDefault="00870C78" w:rsidP="00870C78">
            <w:pPr>
              <w:rPr>
                <w:color w:val="000000"/>
                <w:sz w:val="20"/>
                <w:szCs w:val="20"/>
              </w:rPr>
            </w:pPr>
            <w:r w:rsidRPr="0014130F">
              <w:rPr>
                <w:sz w:val="20"/>
                <w:szCs w:val="20"/>
              </w:rPr>
              <w:t>STEM in Early Learning</w:t>
            </w:r>
          </w:p>
        </w:tc>
        <w:tc>
          <w:tcPr>
            <w:tcW w:w="3048" w:type="dxa"/>
          </w:tcPr>
          <w:p w14:paraId="3AEDAA6E" w14:textId="4F832BDE" w:rsidR="00870C78" w:rsidRPr="0014130F" w:rsidRDefault="00870C78" w:rsidP="006C7221">
            <w:pPr>
              <w:rPr>
                <w:sz w:val="20"/>
                <w:szCs w:val="20"/>
              </w:rPr>
            </w:pPr>
            <w:r w:rsidRPr="00F01EC7">
              <w:rPr>
                <w:color w:val="000000"/>
                <w:sz w:val="20"/>
                <w:szCs w:val="20"/>
              </w:rPr>
              <w:t>Plumbers Apprenticeship Level I</w:t>
            </w:r>
          </w:p>
        </w:tc>
      </w:tr>
      <w:tr w:rsidR="00870C78" w:rsidRPr="00BB18B9" w14:paraId="7CB230EE" w14:textId="4AB00225" w:rsidTr="006C7221">
        <w:tc>
          <w:tcPr>
            <w:tcW w:w="2709" w:type="dxa"/>
          </w:tcPr>
          <w:p w14:paraId="4A06A9F0" w14:textId="77777777" w:rsidR="00870C78" w:rsidRPr="00BB18B9" w:rsidRDefault="00870C78" w:rsidP="00870C78">
            <w:pPr>
              <w:rPr>
                <w:color w:val="000000"/>
                <w:sz w:val="20"/>
                <w:szCs w:val="20"/>
              </w:rPr>
            </w:pPr>
            <w:r w:rsidRPr="00BB18B9">
              <w:rPr>
                <w:color w:val="000000"/>
                <w:sz w:val="20"/>
                <w:szCs w:val="20"/>
              </w:rPr>
              <w:t>CIS 283CA: Cybersecurity Analyst</w:t>
            </w:r>
          </w:p>
        </w:tc>
        <w:tc>
          <w:tcPr>
            <w:tcW w:w="3593" w:type="dxa"/>
          </w:tcPr>
          <w:p w14:paraId="4A61700F" w14:textId="4CE97236" w:rsidR="00870C78" w:rsidRPr="006C7221" w:rsidRDefault="00870C78" w:rsidP="00870C78">
            <w:pPr>
              <w:rPr>
                <w:sz w:val="20"/>
                <w:szCs w:val="20"/>
              </w:rPr>
            </w:pPr>
            <w:r w:rsidRPr="0014130F">
              <w:rPr>
                <w:sz w:val="20"/>
                <w:szCs w:val="20"/>
              </w:rPr>
              <w:t>Medical Coding</w:t>
            </w:r>
          </w:p>
        </w:tc>
        <w:tc>
          <w:tcPr>
            <w:tcW w:w="3048" w:type="dxa"/>
          </w:tcPr>
          <w:p w14:paraId="5D4F2A85" w14:textId="7636D251" w:rsidR="00870C78" w:rsidRPr="0014130F" w:rsidRDefault="00870C78" w:rsidP="006C7221">
            <w:pPr>
              <w:rPr>
                <w:sz w:val="20"/>
                <w:szCs w:val="20"/>
              </w:rPr>
            </w:pPr>
            <w:r w:rsidRPr="00F01EC7">
              <w:rPr>
                <w:color w:val="000000"/>
                <w:sz w:val="20"/>
                <w:szCs w:val="20"/>
              </w:rPr>
              <w:t>Plumbers Apprenticeship Level II</w:t>
            </w:r>
          </w:p>
        </w:tc>
      </w:tr>
    </w:tbl>
    <w:p w14:paraId="586CDEAB" w14:textId="77777777" w:rsidR="00AE33DB" w:rsidRDefault="00AE33DB" w:rsidP="00FC6172">
      <w:pPr>
        <w:rPr>
          <w:rFonts w:cstheme="minorHAnsi"/>
          <w:bCs/>
        </w:rPr>
      </w:pPr>
    </w:p>
    <w:p w14:paraId="17BBC206" w14:textId="3050B2F8" w:rsidR="00E56563" w:rsidRDefault="00E56563" w:rsidP="00FC6172">
      <w:pPr>
        <w:rPr>
          <w:rFonts w:cstheme="minorHAnsi"/>
          <w:bCs/>
        </w:rPr>
      </w:pPr>
    </w:p>
    <w:p w14:paraId="00283B34" w14:textId="77777777" w:rsidR="00D85FC4" w:rsidRPr="000D7A58" w:rsidRDefault="00D85FC4" w:rsidP="00D85FC4">
      <w:pPr>
        <w:shd w:val="clear" w:color="auto" w:fill="B4C6E7" w:themeFill="accent5" w:themeFillTint="66"/>
        <w:rPr>
          <w:rFonts w:cstheme="minorHAnsi"/>
          <w:b/>
          <w:bCs/>
        </w:rPr>
      </w:pPr>
      <w:r w:rsidRPr="000D7A58">
        <w:rPr>
          <w:rFonts w:cstheme="minorHAnsi"/>
          <w:b/>
          <w:bCs/>
        </w:rPr>
        <w:t>GOAL – COLLEGE SUSTAINABILITY: COCC creates processes and systems to foster a high-quality and operationally sustainable work, learning, and natural environments.</w:t>
      </w:r>
    </w:p>
    <w:p w14:paraId="2EEDC763" w14:textId="64E0528D" w:rsidR="00C94D7B" w:rsidRPr="000D7A58" w:rsidRDefault="00C94D7B" w:rsidP="00D85FC4">
      <w:pPr>
        <w:rPr>
          <w:rFonts w:cstheme="minorHAnsi"/>
          <w:b/>
          <w:bCs/>
        </w:rPr>
      </w:pPr>
    </w:p>
    <w:p w14:paraId="0CCBE44F" w14:textId="29FB188C" w:rsidR="00D85FC4" w:rsidRPr="000D7A58" w:rsidRDefault="00D85FC4" w:rsidP="00D85FC4">
      <w:pPr>
        <w:shd w:val="clear" w:color="auto" w:fill="FFE599" w:themeFill="accent4" w:themeFillTint="66"/>
        <w:tabs>
          <w:tab w:val="right" w:pos="9360"/>
        </w:tabs>
        <w:rPr>
          <w:rFonts w:cstheme="minorHAnsi"/>
          <w:b/>
          <w:bCs/>
        </w:rPr>
      </w:pPr>
      <w:r w:rsidRPr="000D7A58">
        <w:rPr>
          <w:rFonts w:cstheme="minorHAnsi"/>
          <w:b/>
          <w:bCs/>
        </w:rPr>
        <w:t>Employee Awards, Recognitions and Professional Development</w:t>
      </w:r>
      <w:r w:rsidRPr="000D7A58">
        <w:rPr>
          <w:rFonts w:cstheme="minorHAnsi"/>
          <w:b/>
          <w:bCs/>
        </w:rPr>
        <w:tab/>
        <w:t>Laura Boehme</w:t>
      </w:r>
    </w:p>
    <w:p w14:paraId="59E468C5" w14:textId="31B59E5E" w:rsidR="00C94D7B" w:rsidRPr="000D7A58" w:rsidRDefault="00C94D7B" w:rsidP="00C94D7B">
      <w:pPr>
        <w:ind w:left="360"/>
        <w:rPr>
          <w:rFonts w:cstheme="minorHAnsi"/>
        </w:rPr>
      </w:pPr>
    </w:p>
    <w:p w14:paraId="5E144E44" w14:textId="10DA724C" w:rsidR="00E84EA1" w:rsidRPr="000D7A58" w:rsidRDefault="00E84EA1" w:rsidP="00E84EA1">
      <w:r w:rsidRPr="000D7A58">
        <w:rPr>
          <w:rFonts w:cstheme="minorHAnsi"/>
          <w:bCs/>
          <w:u w:val="single"/>
        </w:rPr>
        <w:t>Rationale for Indicator</w:t>
      </w:r>
      <w:r w:rsidRPr="000D7A58">
        <w:rPr>
          <w:rFonts w:cstheme="minorHAnsi"/>
          <w:bCs/>
        </w:rPr>
        <w:t>: Employee responses to the 2021 Great Colleges to Work For (GCTWF) survey rat</w:t>
      </w:r>
      <w:r w:rsidR="00E9204F">
        <w:rPr>
          <w:rFonts w:cstheme="minorHAnsi"/>
          <w:bCs/>
        </w:rPr>
        <w:t>ing for</w:t>
      </w:r>
      <w:r w:rsidRPr="000D7A58">
        <w:rPr>
          <w:rFonts w:cstheme="minorHAnsi"/>
          <w:bCs/>
        </w:rPr>
        <w:t xml:space="preserve"> “employee awards and recognitions” </w:t>
      </w:r>
      <w:r w:rsidR="00842CD2">
        <w:rPr>
          <w:rFonts w:cstheme="minorHAnsi"/>
          <w:bCs/>
        </w:rPr>
        <w:t>indicated</w:t>
      </w:r>
      <w:r w:rsidRPr="000D7A58">
        <w:rPr>
          <w:rFonts w:cstheme="minorHAnsi"/>
          <w:bCs/>
        </w:rPr>
        <w:t xml:space="preserve"> that the College needs to </w:t>
      </w:r>
      <w:r w:rsidR="0002016A" w:rsidRPr="000D7A58">
        <w:rPr>
          <w:rFonts w:cstheme="minorHAnsi"/>
          <w:bCs/>
        </w:rPr>
        <w:t>review its program</w:t>
      </w:r>
      <w:r w:rsidR="00842CD2">
        <w:rPr>
          <w:rFonts w:cstheme="minorHAnsi"/>
          <w:bCs/>
        </w:rPr>
        <w:t xml:space="preserve">s for </w:t>
      </w:r>
      <w:r w:rsidRPr="000D7A58">
        <w:rPr>
          <w:rFonts w:cstheme="minorHAnsi"/>
          <w:bCs/>
        </w:rPr>
        <w:t>acknowledg</w:t>
      </w:r>
      <w:r w:rsidR="00842CD2">
        <w:rPr>
          <w:rFonts w:cstheme="minorHAnsi"/>
          <w:bCs/>
        </w:rPr>
        <w:t>ing</w:t>
      </w:r>
      <w:r w:rsidRPr="000D7A58">
        <w:rPr>
          <w:rFonts w:cstheme="minorHAnsi"/>
          <w:bCs/>
        </w:rPr>
        <w:t xml:space="preserve"> and honor</w:t>
      </w:r>
      <w:r w:rsidR="00842CD2">
        <w:rPr>
          <w:rFonts w:cstheme="minorHAnsi"/>
          <w:bCs/>
        </w:rPr>
        <w:t>ing</w:t>
      </w:r>
      <w:r w:rsidRPr="000D7A58">
        <w:t xml:space="preserve"> </w:t>
      </w:r>
      <w:r w:rsidR="0002016A" w:rsidRPr="000D7A58">
        <w:t>its</w:t>
      </w:r>
      <w:r w:rsidRPr="000D7A58">
        <w:t xml:space="preserve"> employees. Research consistently shows that employee engagement, retention, and workplace culture are linked to personal recognition of employee contributions and performance </w:t>
      </w:r>
      <w:r w:rsidR="00C819BC" w:rsidRPr="000D7A58">
        <w:t>and</w:t>
      </w:r>
      <w:r w:rsidRPr="000D7A58">
        <w:t xml:space="preserve"> that employees who receive </w:t>
      </w:r>
      <w:r w:rsidR="0002016A" w:rsidRPr="000D7A58">
        <w:t xml:space="preserve">positive </w:t>
      </w:r>
      <w:r w:rsidRPr="000D7A58">
        <w:t xml:space="preserve">recognition are </w:t>
      </w:r>
      <w:r w:rsidR="00842CD2">
        <w:t>twenty</w:t>
      </w:r>
      <w:r w:rsidRPr="000D7A58">
        <w:t xml:space="preserve"> times as likely to be engaged as employees who receive poor recognition</w:t>
      </w:r>
      <w:r w:rsidR="00C819BC" w:rsidRPr="000D7A58">
        <w:t xml:space="preserve">. In order to help the </w:t>
      </w:r>
      <w:proofErr w:type="gramStart"/>
      <w:r w:rsidR="00C819BC" w:rsidRPr="000D7A58">
        <w:t>College</w:t>
      </w:r>
      <w:proofErr w:type="gramEnd"/>
      <w:r w:rsidR="00C819BC" w:rsidRPr="000D7A58">
        <w:t xml:space="preserve"> reach its goal regarding College Sustainability, intentional work on employee awards, recognitions, celebration and professional development is warranted. </w:t>
      </w:r>
    </w:p>
    <w:p w14:paraId="11647BF8" w14:textId="77777777" w:rsidR="00C819BC" w:rsidRPr="000D7A58" w:rsidRDefault="00C819BC" w:rsidP="00E84EA1">
      <w:pPr>
        <w:rPr>
          <w:rFonts w:cstheme="minorHAnsi"/>
          <w:bCs/>
          <w:u w:val="single"/>
        </w:rPr>
      </w:pPr>
    </w:p>
    <w:p w14:paraId="54347F5E" w14:textId="275F8D27" w:rsidR="00370F4E" w:rsidRDefault="00E84EA1" w:rsidP="00370F4E">
      <w:pPr>
        <w:rPr>
          <w:rFonts w:cstheme="minorHAnsi"/>
        </w:rPr>
      </w:pPr>
      <w:r w:rsidRPr="000D7A58">
        <w:rPr>
          <w:rFonts w:cstheme="minorHAnsi"/>
          <w:bCs/>
          <w:u w:val="single"/>
        </w:rPr>
        <w:t>Definition</w:t>
      </w:r>
      <w:r w:rsidRPr="008B06A7">
        <w:rPr>
          <w:rFonts w:cstheme="minorHAnsi"/>
          <w:bCs/>
        </w:rPr>
        <w:t>:</w:t>
      </w:r>
      <w:r w:rsidRPr="000D7A58">
        <w:rPr>
          <w:rFonts w:cstheme="minorHAnsi"/>
          <w:bCs/>
        </w:rPr>
        <w:t xml:space="preserve"> </w:t>
      </w:r>
      <w:r w:rsidR="008B06A7">
        <w:rPr>
          <w:rFonts w:cstheme="minorHAnsi"/>
          <w:bCs/>
        </w:rPr>
        <w:t xml:space="preserve">Originally, this indicator was based on responses to one specific question from the GCTWF survey. Recognizing that this was limiting, staff reviewed other options and expanded this indicator to include </w:t>
      </w:r>
      <w:r w:rsidR="00370F4E" w:rsidRPr="00370F4E">
        <w:rPr>
          <w:rFonts w:cstheme="minorHAnsi"/>
        </w:rPr>
        <w:t xml:space="preserve">benefitted </w:t>
      </w:r>
      <w:r w:rsidR="00E9204F" w:rsidRPr="00370F4E">
        <w:rPr>
          <w:rFonts w:cstheme="minorHAnsi"/>
        </w:rPr>
        <w:t>employees’</w:t>
      </w:r>
      <w:r w:rsidR="00370F4E" w:rsidRPr="00370F4E">
        <w:rPr>
          <w:rFonts w:cstheme="minorHAnsi"/>
        </w:rPr>
        <w:t xml:space="preserve"> respon</w:t>
      </w:r>
      <w:r w:rsidR="008B06A7">
        <w:rPr>
          <w:rFonts w:cstheme="minorHAnsi"/>
        </w:rPr>
        <w:t>ses</w:t>
      </w:r>
      <w:r w:rsidR="00F73D3C">
        <w:rPr>
          <w:rFonts w:cstheme="minorHAnsi"/>
        </w:rPr>
        <w:t xml:space="preserve"> to</w:t>
      </w:r>
      <w:r w:rsidR="00370F4E" w:rsidRPr="00370F4E">
        <w:rPr>
          <w:rFonts w:cstheme="minorHAnsi"/>
        </w:rPr>
        <w:t xml:space="preserve"> </w:t>
      </w:r>
      <w:r w:rsidR="00F73D3C">
        <w:rPr>
          <w:rFonts w:cstheme="minorHAnsi"/>
        </w:rPr>
        <w:t xml:space="preserve">GCTWF </w:t>
      </w:r>
      <w:r w:rsidR="00370F4E" w:rsidRPr="00370F4E">
        <w:rPr>
          <w:rFonts w:cstheme="minorHAnsi"/>
        </w:rPr>
        <w:t>questions related to awards, recognition and professional development</w:t>
      </w:r>
      <w:r w:rsidR="00370F4E">
        <w:rPr>
          <w:rFonts w:cstheme="minorHAnsi"/>
        </w:rPr>
        <w:t>:</w:t>
      </w:r>
    </w:p>
    <w:p w14:paraId="2421A2A6" w14:textId="77777777" w:rsidR="00370F4E" w:rsidRPr="00370F4E" w:rsidRDefault="00370F4E" w:rsidP="00370F4E">
      <w:pPr>
        <w:rPr>
          <w:rFonts w:cstheme="minorHAnsi"/>
        </w:rPr>
      </w:pPr>
    </w:p>
    <w:p w14:paraId="7D071A54" w14:textId="77777777" w:rsidR="00370F4E" w:rsidRPr="00370F4E" w:rsidRDefault="00370F4E" w:rsidP="00370F4E">
      <w:pPr>
        <w:pStyle w:val="ListParagraph"/>
        <w:numPr>
          <w:ilvl w:val="0"/>
          <w:numId w:val="32"/>
        </w:numPr>
      </w:pPr>
      <w:r w:rsidRPr="00370F4E">
        <w:t>I am regularly recognized for my contributions.</w:t>
      </w:r>
    </w:p>
    <w:p w14:paraId="1489F8E9" w14:textId="77777777" w:rsidR="00370F4E" w:rsidRPr="00370F4E" w:rsidRDefault="00370F4E" w:rsidP="00370F4E">
      <w:pPr>
        <w:pStyle w:val="ListParagraph"/>
        <w:numPr>
          <w:ilvl w:val="0"/>
          <w:numId w:val="32"/>
        </w:numPr>
      </w:pPr>
      <w:r w:rsidRPr="00370F4E">
        <w:t>Our recognition and awards programs are meaningful to me.</w:t>
      </w:r>
    </w:p>
    <w:p w14:paraId="0C1EC7CF" w14:textId="77777777" w:rsidR="00370F4E" w:rsidRPr="00370F4E" w:rsidRDefault="00370F4E" w:rsidP="00370F4E">
      <w:pPr>
        <w:pStyle w:val="ListParagraph"/>
        <w:numPr>
          <w:ilvl w:val="0"/>
          <w:numId w:val="32"/>
        </w:numPr>
      </w:pPr>
      <w:r w:rsidRPr="00370F4E">
        <w:t>I am given the opportunity to develop my skills at this institution.</w:t>
      </w:r>
    </w:p>
    <w:p w14:paraId="13E3F66A" w14:textId="77777777" w:rsidR="00370F4E" w:rsidRPr="00370F4E" w:rsidRDefault="00370F4E" w:rsidP="00370F4E">
      <w:pPr>
        <w:pStyle w:val="ListParagraph"/>
        <w:numPr>
          <w:ilvl w:val="0"/>
          <w:numId w:val="32"/>
        </w:numPr>
      </w:pPr>
      <w:r w:rsidRPr="00370F4E">
        <w:t>I have access to the training I need to do my job well.</w:t>
      </w:r>
    </w:p>
    <w:p w14:paraId="4C0B7A78" w14:textId="2B710C69" w:rsidR="00E84EA1" w:rsidRPr="000D7A58" w:rsidRDefault="00E84EA1" w:rsidP="00E84EA1">
      <w:pPr>
        <w:rPr>
          <w:rFonts w:cstheme="minorHAnsi"/>
          <w:bCs/>
        </w:rPr>
      </w:pPr>
    </w:p>
    <w:p w14:paraId="4CC3DF19" w14:textId="416425FE" w:rsidR="0018355A" w:rsidRDefault="00370F4E" w:rsidP="0018355A">
      <w:pPr>
        <w:rPr>
          <w:rFonts w:cstheme="minorHAnsi"/>
          <w:bCs/>
        </w:rPr>
      </w:pPr>
      <w:r w:rsidRPr="000D7A58">
        <w:rPr>
          <w:rFonts w:cstheme="minorHAnsi"/>
          <w:bCs/>
          <w:u w:val="single"/>
        </w:rPr>
        <w:t>Target</w:t>
      </w:r>
      <w:r>
        <w:rPr>
          <w:rFonts w:cstheme="minorHAnsi"/>
          <w:bCs/>
          <w:u w:val="single"/>
        </w:rPr>
        <w:t>s</w:t>
      </w:r>
      <w:r>
        <w:rPr>
          <w:rFonts w:cstheme="minorHAnsi"/>
          <w:bCs/>
        </w:rPr>
        <w:t xml:space="preserve">: </w:t>
      </w:r>
      <w:r w:rsidR="0018355A">
        <w:rPr>
          <w:sz w:val="23"/>
          <w:szCs w:val="23"/>
        </w:rPr>
        <w:t>Results from responses to GCTWF questions are reported based on the percent of employees agreeing with each statement: Poor (0 – 44%); Warrants Attention (45 – 50%); Fair to Mediocre (55 – 64%); Good (65 – 74%); Very Good to Excellent (75 – 100%).</w:t>
      </w:r>
    </w:p>
    <w:p w14:paraId="6B657288" w14:textId="2DE7B641" w:rsidR="00370F4E" w:rsidRDefault="00370F4E" w:rsidP="00370F4E">
      <w:pPr>
        <w:rPr>
          <w:rFonts w:cstheme="minorHAnsi"/>
          <w:bCs/>
        </w:rPr>
      </w:pPr>
    </w:p>
    <w:p w14:paraId="2D47B65A" w14:textId="102E8EBA" w:rsidR="00370F4E" w:rsidRDefault="00370F4E" w:rsidP="00370F4E">
      <w:pPr>
        <w:rPr>
          <w:rFonts w:cstheme="minorHAnsi"/>
          <w:bCs/>
        </w:rPr>
      </w:pPr>
      <w:r>
        <w:rPr>
          <w:rFonts w:cstheme="minorHAnsi"/>
          <w:bCs/>
        </w:rPr>
        <w:t>Based on this, the College set a target for this indicator as follows:</w:t>
      </w:r>
    </w:p>
    <w:p w14:paraId="65263C60" w14:textId="77777777" w:rsidR="00370F4E" w:rsidRPr="000D7A58" w:rsidRDefault="00370F4E" w:rsidP="00370F4E">
      <w:pPr>
        <w:rPr>
          <w:rFonts w:cstheme="minorHAnsi"/>
          <w:bCs/>
        </w:rPr>
      </w:pPr>
    </w:p>
    <w:p w14:paraId="4F22DD99" w14:textId="5DD3A938" w:rsidR="00370F4E" w:rsidRDefault="00370F4E" w:rsidP="00370F4E">
      <w:pPr>
        <w:pStyle w:val="ListParagraph"/>
        <w:numPr>
          <w:ilvl w:val="0"/>
          <w:numId w:val="33"/>
        </w:numPr>
      </w:pPr>
      <w:r>
        <w:t>Met: 3 or more questions score in the Good or greater category</w:t>
      </w:r>
    </w:p>
    <w:p w14:paraId="079C13CC" w14:textId="1C0FAB47" w:rsidR="00370F4E" w:rsidRDefault="00370F4E" w:rsidP="00370F4E">
      <w:pPr>
        <w:pStyle w:val="ListParagraph"/>
        <w:numPr>
          <w:ilvl w:val="0"/>
          <w:numId w:val="33"/>
        </w:numPr>
      </w:pPr>
      <w:r>
        <w:t>Almost Met: 2 of 4 questions score in the Good or greater category</w:t>
      </w:r>
    </w:p>
    <w:p w14:paraId="09B02B17" w14:textId="202A85C8" w:rsidR="00370F4E" w:rsidRDefault="00370F4E" w:rsidP="00370F4E">
      <w:pPr>
        <w:pStyle w:val="ListParagraph"/>
        <w:numPr>
          <w:ilvl w:val="0"/>
          <w:numId w:val="33"/>
        </w:numPr>
      </w:pPr>
      <w:r>
        <w:lastRenderedPageBreak/>
        <w:t>Not Met: 1 or fewer questions score in the Good or greater category</w:t>
      </w:r>
    </w:p>
    <w:p w14:paraId="6F66196B" w14:textId="12693E36" w:rsidR="00E84EA1" w:rsidRDefault="00E84EA1" w:rsidP="00E84EA1">
      <w:pPr>
        <w:rPr>
          <w:rFonts w:cstheme="minorHAnsi"/>
          <w:bCs/>
        </w:rPr>
      </w:pPr>
    </w:p>
    <w:p w14:paraId="6A845C1B" w14:textId="56DC9111" w:rsidR="00370F4E" w:rsidRDefault="00370F4E" w:rsidP="00E84EA1">
      <w:r>
        <w:rPr>
          <w:rFonts w:cstheme="minorHAnsi"/>
          <w:bCs/>
          <w:u w:val="single"/>
        </w:rPr>
        <w:t>Peer Institutions</w:t>
      </w:r>
      <w:r>
        <w:rPr>
          <w:rFonts w:cstheme="minorHAnsi"/>
          <w:bCs/>
        </w:rPr>
        <w:t xml:space="preserve">: </w:t>
      </w:r>
      <w:r>
        <w:t>COCC uses the comparator institution data provided by Modern Think, the organization that coordinates the GCTWF survey. This data is aggregated from other, similarly sized community colleges who administered the survey, providing an average score across all participating institutions.</w:t>
      </w:r>
    </w:p>
    <w:p w14:paraId="66B6224C" w14:textId="744EB7BD" w:rsidR="00370F4E" w:rsidRDefault="00370F4E" w:rsidP="00E84EA1"/>
    <w:p w14:paraId="0AEBD0B7" w14:textId="74D4CAD1" w:rsidR="00370F4E" w:rsidRPr="008B06A7" w:rsidRDefault="00370F4E" w:rsidP="00E84EA1">
      <w:pPr>
        <w:rPr>
          <w:rFonts w:cstheme="minorHAnsi"/>
          <w:bCs/>
        </w:rPr>
      </w:pPr>
      <w:r w:rsidRPr="008B06A7">
        <w:rPr>
          <w:u w:val="single"/>
        </w:rPr>
        <w:t>Progress</w:t>
      </w:r>
      <w:r w:rsidR="008B06A7">
        <w:t>: The College used the 2021 GCTWF as its baseline, with the most recent results from the 2024 survey.</w:t>
      </w:r>
      <w:r w:rsidR="0018355A">
        <w:t xml:space="preserve"> It is important to note that the survey is only administered every three years, so the next available results will be spring 2027.</w:t>
      </w:r>
    </w:p>
    <w:p w14:paraId="72EDBEA4" w14:textId="77777777" w:rsidR="00370F4E" w:rsidRPr="000D7A58" w:rsidRDefault="00370F4E" w:rsidP="00E84EA1">
      <w:pPr>
        <w:rPr>
          <w:rFonts w:cstheme="minorHAnsi"/>
          <w:bCs/>
        </w:rPr>
      </w:pPr>
    </w:p>
    <w:tbl>
      <w:tblPr>
        <w:tblStyle w:val="TableGrid"/>
        <w:tblW w:w="9360" w:type="dxa"/>
        <w:tblLook w:val="04A0" w:firstRow="1" w:lastRow="0" w:firstColumn="1" w:lastColumn="0" w:noHBand="0" w:noVBand="1"/>
      </w:tblPr>
      <w:tblGrid>
        <w:gridCol w:w="5940"/>
        <w:gridCol w:w="990"/>
        <w:gridCol w:w="810"/>
        <w:gridCol w:w="1620"/>
      </w:tblGrid>
      <w:tr w:rsidR="00526722" w:rsidRPr="000D7A58" w14:paraId="592D018D" w14:textId="77777777" w:rsidTr="00526722">
        <w:tc>
          <w:tcPr>
            <w:tcW w:w="5940" w:type="dxa"/>
            <w:tcBorders>
              <w:top w:val="nil"/>
              <w:left w:val="nil"/>
              <w:bottom w:val="nil"/>
              <w:right w:val="single" w:sz="4" w:space="0" w:color="auto"/>
            </w:tcBorders>
          </w:tcPr>
          <w:p w14:paraId="09B6D228" w14:textId="77777777" w:rsidR="00526722" w:rsidRPr="000D7A58" w:rsidRDefault="00526722" w:rsidP="00AB0CEF">
            <w:pPr>
              <w:rPr>
                <w:rFonts w:cstheme="minorHAnsi"/>
                <w:bCs/>
              </w:rPr>
            </w:pPr>
          </w:p>
        </w:tc>
        <w:tc>
          <w:tcPr>
            <w:tcW w:w="3420" w:type="dxa"/>
            <w:gridSpan w:val="3"/>
            <w:tcBorders>
              <w:left w:val="single" w:sz="4" w:space="0" w:color="auto"/>
              <w:bottom w:val="single" w:sz="4" w:space="0" w:color="auto"/>
            </w:tcBorders>
          </w:tcPr>
          <w:p w14:paraId="7E1DD2CD" w14:textId="15C3AC79" w:rsidR="00526722" w:rsidRDefault="00526722" w:rsidP="008B06A7">
            <w:pPr>
              <w:jc w:val="center"/>
            </w:pPr>
            <w:r>
              <w:t>% Strongly Agree or Agree</w:t>
            </w:r>
          </w:p>
        </w:tc>
      </w:tr>
      <w:tr w:rsidR="00526722" w:rsidRPr="000D7A58" w14:paraId="3391BF5C" w14:textId="77777777" w:rsidTr="00526722">
        <w:tc>
          <w:tcPr>
            <w:tcW w:w="5940" w:type="dxa"/>
            <w:tcBorders>
              <w:top w:val="nil"/>
              <w:left w:val="nil"/>
              <w:bottom w:val="double" w:sz="4" w:space="0" w:color="auto"/>
              <w:right w:val="single" w:sz="4" w:space="0" w:color="auto"/>
            </w:tcBorders>
          </w:tcPr>
          <w:p w14:paraId="34635971" w14:textId="77777777" w:rsidR="00526722" w:rsidRPr="000D7A58" w:rsidRDefault="00526722" w:rsidP="00AB0CEF">
            <w:pPr>
              <w:rPr>
                <w:rFonts w:cstheme="minorHAnsi"/>
                <w:bCs/>
              </w:rPr>
            </w:pPr>
          </w:p>
        </w:tc>
        <w:tc>
          <w:tcPr>
            <w:tcW w:w="990" w:type="dxa"/>
            <w:tcBorders>
              <w:top w:val="single" w:sz="4" w:space="0" w:color="auto"/>
              <w:left w:val="single" w:sz="4" w:space="0" w:color="auto"/>
              <w:bottom w:val="double" w:sz="4" w:space="0" w:color="auto"/>
            </w:tcBorders>
          </w:tcPr>
          <w:p w14:paraId="626B23E2" w14:textId="766287DE" w:rsidR="00526722" w:rsidRPr="00F762BD" w:rsidRDefault="00526722" w:rsidP="008B06A7">
            <w:pPr>
              <w:jc w:val="center"/>
            </w:pPr>
            <w:r w:rsidRPr="00F762BD">
              <w:t>2021 Baseline</w:t>
            </w:r>
          </w:p>
        </w:tc>
        <w:tc>
          <w:tcPr>
            <w:tcW w:w="810" w:type="dxa"/>
            <w:tcBorders>
              <w:top w:val="single" w:sz="4" w:space="0" w:color="auto"/>
              <w:bottom w:val="double" w:sz="4" w:space="0" w:color="auto"/>
            </w:tcBorders>
          </w:tcPr>
          <w:p w14:paraId="0B5DD786" w14:textId="1B002CEA" w:rsidR="00526722" w:rsidRPr="00F762BD" w:rsidRDefault="00526722" w:rsidP="008B06A7">
            <w:pPr>
              <w:jc w:val="center"/>
            </w:pPr>
            <w:r>
              <w:t>Target</w:t>
            </w:r>
          </w:p>
        </w:tc>
        <w:tc>
          <w:tcPr>
            <w:tcW w:w="1620" w:type="dxa"/>
            <w:tcBorders>
              <w:top w:val="single" w:sz="4" w:space="0" w:color="auto"/>
              <w:bottom w:val="double" w:sz="4" w:space="0" w:color="auto"/>
            </w:tcBorders>
          </w:tcPr>
          <w:p w14:paraId="434C7B27" w14:textId="6CAEDCE9" w:rsidR="00526722" w:rsidRPr="00F762BD" w:rsidRDefault="00526722" w:rsidP="008B06A7">
            <w:pPr>
              <w:jc w:val="center"/>
            </w:pPr>
            <w:r w:rsidRPr="00F762BD">
              <w:t>2024 Results</w:t>
            </w:r>
          </w:p>
        </w:tc>
      </w:tr>
      <w:tr w:rsidR="00526722" w:rsidRPr="000D7A58" w14:paraId="292EE032" w14:textId="77777777" w:rsidTr="00526722">
        <w:tc>
          <w:tcPr>
            <w:tcW w:w="5940" w:type="dxa"/>
            <w:tcBorders>
              <w:top w:val="double" w:sz="4" w:space="0" w:color="auto"/>
            </w:tcBorders>
          </w:tcPr>
          <w:p w14:paraId="209BEC54" w14:textId="61A963D6" w:rsidR="00526722" w:rsidRPr="008B06A7" w:rsidRDefault="00526722" w:rsidP="00526722">
            <w:r w:rsidRPr="00370F4E">
              <w:t>I am regularly recognized for my contributions.</w:t>
            </w:r>
          </w:p>
        </w:tc>
        <w:tc>
          <w:tcPr>
            <w:tcW w:w="990" w:type="dxa"/>
            <w:tcBorders>
              <w:top w:val="double" w:sz="4" w:space="0" w:color="auto"/>
            </w:tcBorders>
            <w:vAlign w:val="center"/>
          </w:tcPr>
          <w:p w14:paraId="18C61D5F" w14:textId="592999AC" w:rsidR="00526722" w:rsidRPr="00F762BD" w:rsidRDefault="00526722" w:rsidP="00526722">
            <w:pPr>
              <w:jc w:val="center"/>
              <w:rPr>
                <w:rFonts w:cstheme="minorHAnsi"/>
                <w:bCs/>
              </w:rPr>
            </w:pPr>
            <w:r w:rsidRPr="00F762BD">
              <w:rPr>
                <w:rFonts w:cstheme="minorHAnsi"/>
                <w:bCs/>
              </w:rPr>
              <w:t>59%</w:t>
            </w:r>
          </w:p>
        </w:tc>
        <w:tc>
          <w:tcPr>
            <w:tcW w:w="810" w:type="dxa"/>
            <w:tcBorders>
              <w:top w:val="double" w:sz="4" w:space="0" w:color="auto"/>
            </w:tcBorders>
            <w:vAlign w:val="center"/>
          </w:tcPr>
          <w:p w14:paraId="73812B44" w14:textId="154A615F" w:rsidR="00526722" w:rsidRPr="00F762BD" w:rsidRDefault="00526722" w:rsidP="00526722">
            <w:pPr>
              <w:jc w:val="center"/>
              <w:rPr>
                <w:rFonts w:cstheme="minorHAnsi"/>
                <w:bCs/>
              </w:rPr>
            </w:pPr>
            <w:r>
              <w:rPr>
                <w:rFonts w:cstheme="minorHAnsi"/>
                <w:bCs/>
              </w:rPr>
              <w:t>65%</w:t>
            </w:r>
          </w:p>
        </w:tc>
        <w:tc>
          <w:tcPr>
            <w:tcW w:w="1620" w:type="dxa"/>
            <w:tcBorders>
              <w:top w:val="double" w:sz="4" w:space="0" w:color="auto"/>
            </w:tcBorders>
            <w:vAlign w:val="center"/>
          </w:tcPr>
          <w:p w14:paraId="03618A9A" w14:textId="581113D0" w:rsidR="00526722" w:rsidRPr="00F762BD" w:rsidRDefault="00526722" w:rsidP="00526722">
            <w:pPr>
              <w:jc w:val="center"/>
              <w:rPr>
                <w:rFonts w:cstheme="minorHAnsi"/>
                <w:bCs/>
              </w:rPr>
            </w:pPr>
            <w:r w:rsidRPr="00F762BD">
              <w:rPr>
                <w:rFonts w:cstheme="minorHAnsi"/>
                <w:bCs/>
              </w:rPr>
              <w:t>67%</w:t>
            </w:r>
            <w:r>
              <w:rPr>
                <w:rFonts w:cstheme="minorHAnsi"/>
                <w:bCs/>
              </w:rPr>
              <w:t xml:space="preserve"> (Met)</w:t>
            </w:r>
          </w:p>
        </w:tc>
      </w:tr>
      <w:tr w:rsidR="00526722" w:rsidRPr="000D7A58" w14:paraId="6862CC3A" w14:textId="77777777" w:rsidTr="00526722">
        <w:tc>
          <w:tcPr>
            <w:tcW w:w="5940" w:type="dxa"/>
          </w:tcPr>
          <w:p w14:paraId="065B93F7" w14:textId="5A885CA7" w:rsidR="00526722" w:rsidRPr="000D7A58" w:rsidRDefault="00526722" w:rsidP="00526722">
            <w:pPr>
              <w:rPr>
                <w:rFonts w:cstheme="minorHAnsi"/>
                <w:bCs/>
              </w:rPr>
            </w:pPr>
            <w:r w:rsidRPr="00370F4E">
              <w:t>Our recognition and awards programs are meaningful to me.</w:t>
            </w:r>
          </w:p>
        </w:tc>
        <w:tc>
          <w:tcPr>
            <w:tcW w:w="990" w:type="dxa"/>
            <w:vAlign w:val="center"/>
          </w:tcPr>
          <w:p w14:paraId="02482E3F" w14:textId="79C53C7F" w:rsidR="00526722" w:rsidRPr="000D7A58" w:rsidRDefault="00526722" w:rsidP="00526722">
            <w:pPr>
              <w:jc w:val="center"/>
              <w:rPr>
                <w:rFonts w:cstheme="minorHAnsi"/>
                <w:bCs/>
              </w:rPr>
            </w:pPr>
            <w:r>
              <w:rPr>
                <w:rFonts w:cstheme="minorHAnsi"/>
                <w:bCs/>
              </w:rPr>
              <w:t>37%</w:t>
            </w:r>
          </w:p>
        </w:tc>
        <w:tc>
          <w:tcPr>
            <w:tcW w:w="810" w:type="dxa"/>
            <w:vAlign w:val="center"/>
          </w:tcPr>
          <w:p w14:paraId="04A99742" w14:textId="67B52F34" w:rsidR="00526722" w:rsidRDefault="00526722" w:rsidP="00526722">
            <w:pPr>
              <w:jc w:val="center"/>
              <w:rPr>
                <w:rFonts w:cstheme="minorHAnsi"/>
                <w:bCs/>
              </w:rPr>
            </w:pPr>
            <w:r>
              <w:rPr>
                <w:rFonts w:cstheme="minorHAnsi"/>
                <w:bCs/>
              </w:rPr>
              <w:t>65%</w:t>
            </w:r>
          </w:p>
        </w:tc>
        <w:tc>
          <w:tcPr>
            <w:tcW w:w="1620" w:type="dxa"/>
            <w:vAlign w:val="center"/>
          </w:tcPr>
          <w:p w14:paraId="2622CD40" w14:textId="7DC08AE9" w:rsidR="00526722" w:rsidRPr="000D7A58" w:rsidRDefault="00526722" w:rsidP="00526722">
            <w:pPr>
              <w:jc w:val="center"/>
              <w:rPr>
                <w:rFonts w:cstheme="minorHAnsi"/>
                <w:bCs/>
              </w:rPr>
            </w:pPr>
            <w:r>
              <w:rPr>
                <w:rFonts w:cstheme="minorHAnsi"/>
                <w:bCs/>
              </w:rPr>
              <w:t>47% (Not Met)</w:t>
            </w:r>
          </w:p>
        </w:tc>
      </w:tr>
      <w:tr w:rsidR="00526722" w:rsidRPr="000D7A58" w14:paraId="7E341EBE" w14:textId="77777777" w:rsidTr="00526722">
        <w:tc>
          <w:tcPr>
            <w:tcW w:w="5940" w:type="dxa"/>
          </w:tcPr>
          <w:p w14:paraId="182EF221" w14:textId="3C5CD272" w:rsidR="00526722" w:rsidRPr="00370F4E" w:rsidRDefault="00526722" w:rsidP="00526722">
            <w:r w:rsidRPr="00370F4E">
              <w:t>I am given the opportunity to develop my skills at this institution.</w:t>
            </w:r>
          </w:p>
        </w:tc>
        <w:tc>
          <w:tcPr>
            <w:tcW w:w="990" w:type="dxa"/>
            <w:vAlign w:val="center"/>
          </w:tcPr>
          <w:p w14:paraId="5C0B88F2" w14:textId="6B382F42" w:rsidR="00526722" w:rsidRPr="000D7A58" w:rsidRDefault="00526722" w:rsidP="00526722">
            <w:pPr>
              <w:jc w:val="center"/>
              <w:rPr>
                <w:rFonts w:cstheme="minorHAnsi"/>
                <w:bCs/>
              </w:rPr>
            </w:pPr>
            <w:r>
              <w:rPr>
                <w:rFonts w:cstheme="minorHAnsi"/>
                <w:bCs/>
              </w:rPr>
              <w:t>82%</w:t>
            </w:r>
          </w:p>
        </w:tc>
        <w:tc>
          <w:tcPr>
            <w:tcW w:w="810" w:type="dxa"/>
            <w:vAlign w:val="center"/>
          </w:tcPr>
          <w:p w14:paraId="534B7EB8" w14:textId="018D6DE7" w:rsidR="00526722" w:rsidRDefault="00526722" w:rsidP="00526722">
            <w:pPr>
              <w:jc w:val="center"/>
              <w:rPr>
                <w:rFonts w:cstheme="minorHAnsi"/>
                <w:bCs/>
              </w:rPr>
            </w:pPr>
            <w:r>
              <w:rPr>
                <w:rFonts w:cstheme="minorHAnsi"/>
                <w:bCs/>
              </w:rPr>
              <w:t>65%</w:t>
            </w:r>
          </w:p>
        </w:tc>
        <w:tc>
          <w:tcPr>
            <w:tcW w:w="1620" w:type="dxa"/>
            <w:vAlign w:val="center"/>
          </w:tcPr>
          <w:p w14:paraId="41918527" w14:textId="36B26292" w:rsidR="00526722" w:rsidRPr="000D7A58" w:rsidRDefault="00526722" w:rsidP="00526722">
            <w:pPr>
              <w:jc w:val="center"/>
              <w:rPr>
                <w:rFonts w:cstheme="minorHAnsi"/>
                <w:bCs/>
              </w:rPr>
            </w:pPr>
            <w:r>
              <w:rPr>
                <w:rFonts w:cstheme="minorHAnsi"/>
                <w:bCs/>
              </w:rPr>
              <w:t>76% (Met)</w:t>
            </w:r>
          </w:p>
        </w:tc>
      </w:tr>
      <w:tr w:rsidR="00526722" w:rsidRPr="000D7A58" w14:paraId="4AE7CDC9" w14:textId="77777777" w:rsidTr="00526722">
        <w:tc>
          <w:tcPr>
            <w:tcW w:w="5940" w:type="dxa"/>
          </w:tcPr>
          <w:p w14:paraId="2BE11929" w14:textId="2F17BA8F" w:rsidR="00526722" w:rsidRPr="00370F4E" w:rsidRDefault="00526722" w:rsidP="00526722">
            <w:r w:rsidRPr="00370F4E">
              <w:t>I have access to the training I need to do my job well.</w:t>
            </w:r>
          </w:p>
        </w:tc>
        <w:tc>
          <w:tcPr>
            <w:tcW w:w="990" w:type="dxa"/>
            <w:vAlign w:val="center"/>
          </w:tcPr>
          <w:p w14:paraId="758F033F" w14:textId="00F800AA" w:rsidR="00526722" w:rsidRPr="000D7A58" w:rsidRDefault="00526722" w:rsidP="00526722">
            <w:pPr>
              <w:jc w:val="center"/>
              <w:rPr>
                <w:rFonts w:cstheme="minorHAnsi"/>
                <w:bCs/>
              </w:rPr>
            </w:pPr>
            <w:r>
              <w:rPr>
                <w:rFonts w:cstheme="minorHAnsi"/>
                <w:bCs/>
              </w:rPr>
              <w:t>70%</w:t>
            </w:r>
          </w:p>
        </w:tc>
        <w:tc>
          <w:tcPr>
            <w:tcW w:w="810" w:type="dxa"/>
            <w:vAlign w:val="center"/>
          </w:tcPr>
          <w:p w14:paraId="1BAEC652" w14:textId="3DD48E92" w:rsidR="00526722" w:rsidRDefault="00526722" w:rsidP="00526722">
            <w:pPr>
              <w:jc w:val="center"/>
              <w:rPr>
                <w:rFonts w:cstheme="minorHAnsi"/>
                <w:bCs/>
              </w:rPr>
            </w:pPr>
            <w:r>
              <w:rPr>
                <w:rFonts w:cstheme="minorHAnsi"/>
                <w:bCs/>
              </w:rPr>
              <w:t>65%</w:t>
            </w:r>
          </w:p>
        </w:tc>
        <w:tc>
          <w:tcPr>
            <w:tcW w:w="1620" w:type="dxa"/>
            <w:vAlign w:val="center"/>
          </w:tcPr>
          <w:p w14:paraId="0A7C816D" w14:textId="2804C6C3" w:rsidR="00526722" w:rsidRPr="000D7A58" w:rsidRDefault="00526722" w:rsidP="00526722">
            <w:pPr>
              <w:jc w:val="center"/>
              <w:rPr>
                <w:rFonts w:cstheme="minorHAnsi"/>
                <w:bCs/>
              </w:rPr>
            </w:pPr>
            <w:r>
              <w:rPr>
                <w:rFonts w:cstheme="minorHAnsi"/>
                <w:bCs/>
              </w:rPr>
              <w:t>69% (Met)</w:t>
            </w:r>
          </w:p>
        </w:tc>
      </w:tr>
    </w:tbl>
    <w:p w14:paraId="7640F0D0" w14:textId="77777777" w:rsidR="00370F4E" w:rsidRPr="000D7A58" w:rsidRDefault="00370F4E" w:rsidP="00E84EA1">
      <w:pPr>
        <w:rPr>
          <w:rFonts w:cstheme="minorHAnsi"/>
          <w:bCs/>
        </w:rPr>
      </w:pPr>
    </w:p>
    <w:p w14:paraId="7D6B549B" w14:textId="59D0BD8B" w:rsidR="00F762BD" w:rsidRDefault="0018355A" w:rsidP="0018355A">
      <w:pPr>
        <w:rPr>
          <w:highlight w:val="yellow"/>
        </w:rPr>
      </w:pPr>
      <w:r w:rsidRPr="00F762BD">
        <w:t xml:space="preserve">With this, the College </w:t>
      </w:r>
      <w:r w:rsidR="00F762BD" w:rsidRPr="00F762BD">
        <w:t xml:space="preserve">met its target for </w:t>
      </w:r>
      <w:r w:rsidR="00963471">
        <w:t>three</w:t>
      </w:r>
      <w:r w:rsidR="00F762BD" w:rsidRPr="00F762BD">
        <w:t xml:space="preserve"> of the four questions, giving us an overall progress of “Met.”</w:t>
      </w:r>
      <w:r w:rsidR="00F73D3C">
        <w:t xml:space="preserve"> Including the new questions as part of the indicator provides a more meaningful set of information to assess employee</w:t>
      </w:r>
      <w:r w:rsidR="00C06086">
        <w:t xml:space="preserve"> perspectives</w:t>
      </w:r>
      <w:r w:rsidR="00F73D3C">
        <w:t xml:space="preserve"> and enhance engagement. </w:t>
      </w:r>
      <w:r w:rsidR="00F762BD" w:rsidRPr="00F762BD">
        <w:t xml:space="preserve"> </w:t>
      </w:r>
      <w:r w:rsidR="00F73D3C">
        <w:t>The GCTWF data indicate</w:t>
      </w:r>
      <w:r w:rsidR="00C06086">
        <w:t>d</w:t>
      </w:r>
      <w:r w:rsidR="00F73D3C">
        <w:t xml:space="preserve"> that employees are generally feeling supported and recognized by those they work most closely with, such as their supervisors and department colleagues. What is lacking and needing improvement is the organization</w:t>
      </w:r>
      <w:r w:rsidR="00C06086">
        <w:t xml:space="preserve">-level </w:t>
      </w:r>
      <w:r w:rsidR="00F73D3C">
        <w:t xml:space="preserve">recognition and professional development awareness practices. The strategic planning group continues to seek input on college-wide strategies that would increase the impact </w:t>
      </w:r>
      <w:r w:rsidR="00C06086">
        <w:t>on individual employees. Further, HR networks with other public agencies to learn about their practices that we may model.</w:t>
      </w:r>
      <w:r w:rsidR="00F73D3C">
        <w:t xml:space="preserve">  </w:t>
      </w:r>
    </w:p>
    <w:p w14:paraId="3AE950DB" w14:textId="77777777" w:rsidR="00F762BD" w:rsidRDefault="00F762BD" w:rsidP="0018355A">
      <w:pPr>
        <w:rPr>
          <w:highlight w:val="yellow"/>
        </w:rPr>
      </w:pPr>
    </w:p>
    <w:p w14:paraId="6CE157A6" w14:textId="021804C6" w:rsidR="00D85FC4" w:rsidRPr="000D7A58" w:rsidRDefault="00D85FC4" w:rsidP="00D85FC4">
      <w:pPr>
        <w:shd w:val="clear" w:color="auto" w:fill="FFE599" w:themeFill="accent4" w:themeFillTint="66"/>
        <w:tabs>
          <w:tab w:val="right" w:pos="9360"/>
        </w:tabs>
        <w:rPr>
          <w:rFonts w:cstheme="minorHAnsi"/>
          <w:b/>
        </w:rPr>
      </w:pPr>
      <w:r w:rsidRPr="000D7A58">
        <w:rPr>
          <w:rFonts w:cstheme="minorHAnsi"/>
          <w:b/>
        </w:rPr>
        <w:t>President’s Climate Leadership Commitment</w:t>
      </w:r>
      <w:r w:rsidRPr="000D7A58">
        <w:rPr>
          <w:rFonts w:cstheme="minorHAnsi"/>
          <w:b/>
        </w:rPr>
        <w:tab/>
      </w:r>
      <w:r w:rsidR="00C072B4" w:rsidRPr="000D7A58">
        <w:rPr>
          <w:rFonts w:cstheme="minorHAnsi"/>
          <w:b/>
        </w:rPr>
        <w:t>Michael LaLonde</w:t>
      </w:r>
    </w:p>
    <w:p w14:paraId="1BEC7836" w14:textId="77777777" w:rsidR="00D85FC4" w:rsidRPr="000D7A58" w:rsidRDefault="00D85FC4" w:rsidP="00D85FC4">
      <w:pPr>
        <w:rPr>
          <w:rFonts w:cstheme="minorHAnsi"/>
          <w:bCs/>
        </w:rPr>
      </w:pPr>
    </w:p>
    <w:p w14:paraId="0B2EB9F3" w14:textId="28E722FB" w:rsidR="00E84EA1" w:rsidRPr="000D7A58" w:rsidRDefault="00E84EA1" w:rsidP="00E84EA1">
      <w:pPr>
        <w:rPr>
          <w:u w:val="single"/>
        </w:rPr>
      </w:pPr>
      <w:r w:rsidRPr="000D7A58">
        <w:rPr>
          <w:rFonts w:cstheme="minorHAnsi"/>
          <w:bCs/>
          <w:u w:val="single"/>
        </w:rPr>
        <w:t xml:space="preserve">Rationale for </w:t>
      </w:r>
      <w:r w:rsidRPr="00B32200">
        <w:rPr>
          <w:rFonts w:cstheme="minorHAnsi"/>
          <w:bCs/>
          <w:u w:val="single"/>
        </w:rPr>
        <w:t>Indicator</w:t>
      </w:r>
      <w:r w:rsidRPr="00B32200">
        <w:rPr>
          <w:rFonts w:cstheme="minorHAnsi"/>
          <w:bCs/>
        </w:rPr>
        <w:t xml:space="preserve">: </w:t>
      </w:r>
      <w:r w:rsidR="00B32200" w:rsidRPr="00B32200">
        <w:rPr>
          <w:rFonts w:cstheme="minorHAnsi"/>
        </w:rPr>
        <w:t>COCC signed the President’s Climate Leadership Commitment November 2022 and an element of the assessment plan is completing a greenhouse gas emissions (</w:t>
      </w:r>
      <w:proofErr w:type="spellStart"/>
      <w:r w:rsidR="00B32200" w:rsidRPr="00B32200">
        <w:rPr>
          <w:rFonts w:cstheme="minorHAnsi"/>
        </w:rPr>
        <w:t>GhG</w:t>
      </w:r>
      <w:proofErr w:type="spellEnd"/>
      <w:r w:rsidR="00B32200" w:rsidRPr="00B32200">
        <w:rPr>
          <w:rFonts w:cstheme="minorHAnsi"/>
        </w:rPr>
        <w:t>) inventory annually. The inventory will serve as a baseline to set reduction goals and evaluate progress each year.</w:t>
      </w:r>
    </w:p>
    <w:p w14:paraId="1AA05CF2" w14:textId="77777777" w:rsidR="00E84EA1" w:rsidRPr="000D7A58" w:rsidRDefault="00E84EA1" w:rsidP="00E84EA1">
      <w:pPr>
        <w:rPr>
          <w:rFonts w:cstheme="minorHAnsi"/>
          <w:bCs/>
          <w:u w:val="single"/>
        </w:rPr>
      </w:pPr>
    </w:p>
    <w:p w14:paraId="5E015A1F" w14:textId="2587EE8C" w:rsidR="00B32200" w:rsidRPr="00B32200" w:rsidRDefault="00E84EA1" w:rsidP="00B32200">
      <w:pPr>
        <w:rPr>
          <w:rFonts w:cstheme="minorHAnsi"/>
        </w:rPr>
      </w:pPr>
      <w:r w:rsidRPr="000D7A58">
        <w:rPr>
          <w:rFonts w:cstheme="minorHAnsi"/>
          <w:bCs/>
          <w:u w:val="single"/>
        </w:rPr>
        <w:t>Definition</w:t>
      </w:r>
      <w:r w:rsidRPr="000D7A58">
        <w:rPr>
          <w:rFonts w:cstheme="minorHAnsi"/>
          <w:bCs/>
        </w:rPr>
        <w:t xml:space="preserve">: </w:t>
      </w:r>
      <w:r w:rsidR="00B32200" w:rsidRPr="00B32200">
        <w:rPr>
          <w:rFonts w:cstheme="minorHAnsi"/>
        </w:rPr>
        <w:t>COCC use</w:t>
      </w:r>
      <w:r w:rsidR="00B32200">
        <w:rPr>
          <w:rFonts w:cstheme="minorHAnsi"/>
        </w:rPr>
        <w:t>s</w:t>
      </w:r>
      <w:r w:rsidR="00B32200" w:rsidRPr="00B32200">
        <w:rPr>
          <w:rFonts w:cstheme="minorHAnsi"/>
        </w:rPr>
        <w:t xml:space="preserve"> </w:t>
      </w:r>
      <w:r w:rsidR="00B32200" w:rsidRPr="00B32200">
        <w:rPr>
          <w:rFonts w:cstheme="minorHAnsi"/>
          <w:shd w:val="clear" w:color="auto" w:fill="FFFFFF"/>
        </w:rPr>
        <w:t>SIMAP</w:t>
      </w:r>
      <w:r w:rsidR="00B32200" w:rsidRPr="00B32200">
        <w:rPr>
          <w:rFonts w:cstheme="minorHAnsi"/>
          <w:shd w:val="clear" w:color="auto" w:fill="FFFFFF"/>
          <w:vertAlign w:val="superscript"/>
        </w:rPr>
        <w:t xml:space="preserve">® </w:t>
      </w:r>
      <w:r w:rsidR="00B32200" w:rsidRPr="00B32200">
        <w:rPr>
          <w:rFonts w:cstheme="minorHAnsi"/>
          <w:shd w:val="clear" w:color="auto" w:fill="FFFFFF"/>
        </w:rPr>
        <w:t xml:space="preserve">a carbon-accounting platform for the </w:t>
      </w:r>
      <w:r w:rsidR="00B32200" w:rsidRPr="00B32200">
        <w:rPr>
          <w:rFonts w:cstheme="minorHAnsi"/>
        </w:rPr>
        <w:t>Greenhouse Gas inventory. Greenhouse gas emissions (</w:t>
      </w:r>
      <w:proofErr w:type="spellStart"/>
      <w:r w:rsidR="00B32200" w:rsidRPr="00B32200">
        <w:rPr>
          <w:rFonts w:cstheme="minorHAnsi"/>
        </w:rPr>
        <w:t>GhG</w:t>
      </w:r>
      <w:proofErr w:type="spellEnd"/>
      <w:r w:rsidR="00B32200" w:rsidRPr="00B32200">
        <w:rPr>
          <w:rFonts w:cstheme="minorHAnsi"/>
        </w:rPr>
        <w:t xml:space="preserve">) include a combination of carbon dioxide (CO2), methane (CH4), and nitrous oxide (N2O) gases emitted from electricity, natural gas, commuting, refrigerant, with the remainder from sources such as waste, fertilizer and purchased goods. Data is collected in </w:t>
      </w:r>
      <w:proofErr w:type="spellStart"/>
      <w:r w:rsidR="00B32200" w:rsidRPr="00B32200">
        <w:rPr>
          <w:rFonts w:cstheme="minorHAnsi"/>
        </w:rPr>
        <w:t>therms</w:t>
      </w:r>
      <w:proofErr w:type="spellEnd"/>
      <w:r w:rsidR="00B32200" w:rsidRPr="00B32200">
        <w:rPr>
          <w:rFonts w:cstheme="minorHAnsi"/>
        </w:rPr>
        <w:t>, kilowatts, miles, and gallons, then converted into one standardized unit, MT CO2e (</w:t>
      </w:r>
      <w:r w:rsidR="00B32200" w:rsidRPr="00B32200">
        <w:rPr>
          <w:rFonts w:cstheme="minorHAnsi"/>
          <w:shd w:val="clear" w:color="auto" w:fill="FFFFFF"/>
        </w:rPr>
        <w:t>Metric Tons of Carbon Dioxide equivalent, MT CO2e</w:t>
      </w:r>
      <w:r w:rsidR="00B32200" w:rsidRPr="00B32200">
        <w:rPr>
          <w:rFonts w:cstheme="minorHAnsi"/>
        </w:rPr>
        <w:t>).</w:t>
      </w:r>
    </w:p>
    <w:p w14:paraId="74EB446E" w14:textId="77777777" w:rsidR="00B32200" w:rsidRPr="00B32200" w:rsidRDefault="00B32200" w:rsidP="00B32200">
      <w:pPr>
        <w:rPr>
          <w:rFonts w:cstheme="minorHAnsi"/>
          <w:bCs/>
        </w:rPr>
      </w:pPr>
    </w:p>
    <w:p w14:paraId="151A7633" w14:textId="00AD22C1" w:rsidR="00E84EA1" w:rsidRPr="000D7A58" w:rsidRDefault="00B32200" w:rsidP="00B32200">
      <w:pPr>
        <w:rPr>
          <w:u w:val="single"/>
        </w:rPr>
      </w:pPr>
      <w:r w:rsidRPr="00B32200">
        <w:rPr>
          <w:rFonts w:cstheme="minorHAnsi"/>
          <w:shd w:val="clear" w:color="auto" w:fill="FFFFFF"/>
        </w:rPr>
        <w:t xml:space="preserve">Scope 1, 2, and 3 emissions are categories used to classify greenhouse gas emissions based on their source and control. Scope 1 emissions are direct emissions from a company's owned or controlled sources, such as burning fuel in vehicles or buildings. Scope 2 emissions are indirect emissions from purchased energy, like electricity or heat. Scope 3 emissions are all other indirect emissions in a </w:t>
      </w:r>
      <w:r w:rsidRPr="00B32200">
        <w:rPr>
          <w:rFonts w:cstheme="minorHAnsi"/>
          <w:shd w:val="clear" w:color="auto" w:fill="FFFFFF"/>
        </w:rPr>
        <w:lastRenderedPageBreak/>
        <w:t>company's value chain, including upstream activities like supply chain emissions and downstream activities like waste disposal.</w:t>
      </w:r>
      <w:r w:rsidRPr="00695FF2">
        <w:rPr>
          <w:rStyle w:val="uv3um"/>
          <w:rFonts w:cstheme="minorHAnsi"/>
          <w:shd w:val="clear" w:color="auto" w:fill="FFFFFF"/>
        </w:rPr>
        <w:t> </w:t>
      </w:r>
    </w:p>
    <w:p w14:paraId="3335448A" w14:textId="77777777" w:rsidR="00E84EA1" w:rsidRPr="000D7A58" w:rsidRDefault="00E84EA1" w:rsidP="00E84EA1">
      <w:pPr>
        <w:rPr>
          <w:rFonts w:cstheme="minorHAnsi"/>
          <w:bCs/>
        </w:rPr>
      </w:pPr>
    </w:p>
    <w:p w14:paraId="20365666" w14:textId="77777777" w:rsidR="00B32200" w:rsidRDefault="00E84EA1" w:rsidP="00B32200">
      <w:r w:rsidRPr="000D7A58">
        <w:rPr>
          <w:rFonts w:cstheme="minorHAnsi"/>
          <w:bCs/>
          <w:u w:val="single"/>
        </w:rPr>
        <w:t>Targets</w:t>
      </w:r>
      <w:r w:rsidRPr="00B32200">
        <w:rPr>
          <w:rFonts w:cstheme="minorHAnsi"/>
          <w:bCs/>
        </w:rPr>
        <w:t>:</w:t>
      </w:r>
    </w:p>
    <w:p w14:paraId="134E1187" w14:textId="7EC1E591" w:rsidR="00B32200" w:rsidRDefault="00B32200" w:rsidP="00B32200">
      <w:r>
        <w:t>For the 2023 calendar year, COCC GHG inventory yielded 8,880 metric tons of Carbon Dioxide equivalent. Using this as the baseline, COCC set the following targets for future years:</w:t>
      </w:r>
    </w:p>
    <w:p w14:paraId="35031154" w14:textId="77777777" w:rsidR="00B32200" w:rsidRDefault="00B32200" w:rsidP="00B32200"/>
    <w:tbl>
      <w:tblPr>
        <w:tblStyle w:val="TableGrid"/>
        <w:tblW w:w="0" w:type="auto"/>
        <w:tblLook w:val="04A0" w:firstRow="1" w:lastRow="0" w:firstColumn="1" w:lastColumn="0" w:noHBand="0" w:noVBand="1"/>
      </w:tblPr>
      <w:tblGrid>
        <w:gridCol w:w="1075"/>
        <w:gridCol w:w="1080"/>
        <w:gridCol w:w="1080"/>
        <w:gridCol w:w="1440"/>
        <w:gridCol w:w="1440"/>
        <w:gridCol w:w="1440"/>
      </w:tblGrid>
      <w:tr w:rsidR="00B32200" w14:paraId="2AA46443" w14:textId="332A0DEC" w:rsidTr="00B32200">
        <w:tc>
          <w:tcPr>
            <w:tcW w:w="1075" w:type="dxa"/>
            <w:tcBorders>
              <w:top w:val="nil"/>
              <w:left w:val="nil"/>
              <w:bottom w:val="single" w:sz="4" w:space="0" w:color="auto"/>
              <w:right w:val="single" w:sz="4" w:space="0" w:color="auto"/>
            </w:tcBorders>
          </w:tcPr>
          <w:p w14:paraId="00287C7E" w14:textId="77777777" w:rsidR="00B32200" w:rsidRDefault="00B32200" w:rsidP="00B32200"/>
        </w:tc>
        <w:tc>
          <w:tcPr>
            <w:tcW w:w="1080" w:type="dxa"/>
            <w:tcBorders>
              <w:left w:val="single" w:sz="4" w:space="0" w:color="auto"/>
              <w:bottom w:val="double" w:sz="4" w:space="0" w:color="auto"/>
            </w:tcBorders>
            <w:vAlign w:val="bottom"/>
          </w:tcPr>
          <w:p w14:paraId="2C3CA140" w14:textId="120DAEEC" w:rsidR="00B32200" w:rsidRDefault="00B32200" w:rsidP="00B32200">
            <w:pPr>
              <w:jc w:val="center"/>
            </w:pPr>
            <w:r>
              <w:t>2022 Baseline</w:t>
            </w:r>
          </w:p>
        </w:tc>
        <w:tc>
          <w:tcPr>
            <w:tcW w:w="1080" w:type="dxa"/>
            <w:tcBorders>
              <w:bottom w:val="double" w:sz="4" w:space="0" w:color="auto"/>
            </w:tcBorders>
            <w:vAlign w:val="bottom"/>
          </w:tcPr>
          <w:p w14:paraId="2D02E5ED" w14:textId="25FABC86" w:rsidR="00B32200" w:rsidRDefault="00B32200" w:rsidP="00B32200">
            <w:pPr>
              <w:jc w:val="center"/>
            </w:pPr>
            <w:r>
              <w:t>2023 Actual</w:t>
            </w:r>
          </w:p>
        </w:tc>
        <w:tc>
          <w:tcPr>
            <w:tcW w:w="1440" w:type="dxa"/>
            <w:tcBorders>
              <w:bottom w:val="double" w:sz="4" w:space="0" w:color="auto"/>
            </w:tcBorders>
            <w:vAlign w:val="bottom"/>
          </w:tcPr>
          <w:p w14:paraId="633B7682" w14:textId="1047A876" w:rsidR="00B32200" w:rsidRDefault="00B32200" w:rsidP="00B32200">
            <w:pPr>
              <w:jc w:val="center"/>
            </w:pPr>
            <w:r>
              <w:t>2024 Target</w:t>
            </w:r>
          </w:p>
        </w:tc>
        <w:tc>
          <w:tcPr>
            <w:tcW w:w="1440" w:type="dxa"/>
            <w:tcBorders>
              <w:bottom w:val="double" w:sz="4" w:space="0" w:color="auto"/>
            </w:tcBorders>
            <w:vAlign w:val="bottom"/>
          </w:tcPr>
          <w:p w14:paraId="7B3E4904" w14:textId="294B4441" w:rsidR="00B32200" w:rsidRDefault="00B32200" w:rsidP="00B32200">
            <w:pPr>
              <w:jc w:val="center"/>
            </w:pPr>
            <w:r>
              <w:t>2025 Target</w:t>
            </w:r>
          </w:p>
        </w:tc>
        <w:tc>
          <w:tcPr>
            <w:tcW w:w="1440" w:type="dxa"/>
            <w:tcBorders>
              <w:bottom w:val="double" w:sz="4" w:space="0" w:color="auto"/>
            </w:tcBorders>
            <w:vAlign w:val="bottom"/>
          </w:tcPr>
          <w:p w14:paraId="1F841EF5" w14:textId="0744DC51" w:rsidR="00B32200" w:rsidRDefault="00B32200" w:rsidP="00B32200">
            <w:pPr>
              <w:jc w:val="center"/>
            </w:pPr>
            <w:r>
              <w:t>2026 Target</w:t>
            </w:r>
          </w:p>
        </w:tc>
      </w:tr>
      <w:tr w:rsidR="00B32200" w14:paraId="6D8BE790" w14:textId="0C6B803A" w:rsidTr="00B32200">
        <w:tc>
          <w:tcPr>
            <w:tcW w:w="1075" w:type="dxa"/>
            <w:tcBorders>
              <w:top w:val="single" w:sz="4" w:space="0" w:color="auto"/>
            </w:tcBorders>
          </w:tcPr>
          <w:p w14:paraId="7FA72E36" w14:textId="2052CBF4" w:rsidR="00B32200" w:rsidRDefault="00B32200" w:rsidP="00B32200">
            <w:r>
              <w:t>Scope 1</w:t>
            </w:r>
          </w:p>
        </w:tc>
        <w:tc>
          <w:tcPr>
            <w:tcW w:w="1080" w:type="dxa"/>
            <w:tcBorders>
              <w:top w:val="double" w:sz="4" w:space="0" w:color="auto"/>
            </w:tcBorders>
            <w:vAlign w:val="bottom"/>
          </w:tcPr>
          <w:p w14:paraId="4BA4BF95" w14:textId="57ADBFDC" w:rsidR="00B32200" w:rsidRDefault="00B32200" w:rsidP="00B32200">
            <w:pPr>
              <w:jc w:val="center"/>
            </w:pPr>
            <w:r w:rsidRPr="00B005CF">
              <w:rPr>
                <w:color w:val="000000"/>
              </w:rPr>
              <w:t>3,150.64</w:t>
            </w:r>
          </w:p>
        </w:tc>
        <w:tc>
          <w:tcPr>
            <w:tcW w:w="1080" w:type="dxa"/>
            <w:tcBorders>
              <w:top w:val="double" w:sz="4" w:space="0" w:color="auto"/>
            </w:tcBorders>
            <w:vAlign w:val="bottom"/>
          </w:tcPr>
          <w:p w14:paraId="0A569B9D" w14:textId="40BFB65E" w:rsidR="00B32200" w:rsidRDefault="00B32200" w:rsidP="00B32200">
            <w:pPr>
              <w:jc w:val="center"/>
            </w:pPr>
            <w:r w:rsidRPr="00B005CF">
              <w:rPr>
                <w:color w:val="000000"/>
              </w:rPr>
              <w:t>2,528.43</w:t>
            </w:r>
          </w:p>
        </w:tc>
        <w:tc>
          <w:tcPr>
            <w:tcW w:w="1440" w:type="dxa"/>
            <w:tcBorders>
              <w:top w:val="double" w:sz="4" w:space="0" w:color="auto"/>
            </w:tcBorders>
          </w:tcPr>
          <w:p w14:paraId="379C7967" w14:textId="3B9E4121" w:rsidR="00B32200" w:rsidRDefault="00B32200" w:rsidP="00B32200">
            <w:pPr>
              <w:jc w:val="center"/>
            </w:pPr>
            <w:r>
              <w:t>-3.4%</w:t>
            </w:r>
          </w:p>
        </w:tc>
        <w:tc>
          <w:tcPr>
            <w:tcW w:w="1440" w:type="dxa"/>
            <w:tcBorders>
              <w:top w:val="double" w:sz="4" w:space="0" w:color="auto"/>
            </w:tcBorders>
          </w:tcPr>
          <w:p w14:paraId="08EA3412" w14:textId="6F1DB0F5" w:rsidR="00B32200" w:rsidRDefault="00B32200" w:rsidP="00B32200">
            <w:pPr>
              <w:jc w:val="center"/>
            </w:pPr>
            <w:r>
              <w:t>-3.4%</w:t>
            </w:r>
          </w:p>
        </w:tc>
        <w:tc>
          <w:tcPr>
            <w:tcW w:w="1440" w:type="dxa"/>
            <w:tcBorders>
              <w:top w:val="double" w:sz="4" w:space="0" w:color="auto"/>
            </w:tcBorders>
          </w:tcPr>
          <w:p w14:paraId="1BDC4D3D" w14:textId="790C9581" w:rsidR="00B32200" w:rsidRDefault="00B32200" w:rsidP="00B32200">
            <w:pPr>
              <w:jc w:val="center"/>
            </w:pPr>
            <w:r>
              <w:t>-3.4%</w:t>
            </w:r>
          </w:p>
        </w:tc>
      </w:tr>
      <w:tr w:rsidR="00B32200" w14:paraId="21074A40" w14:textId="3DE8920C" w:rsidTr="00B32200">
        <w:tc>
          <w:tcPr>
            <w:tcW w:w="1075" w:type="dxa"/>
          </w:tcPr>
          <w:p w14:paraId="2B3F6751" w14:textId="5B2F6259" w:rsidR="00B32200" w:rsidRDefault="00B32200" w:rsidP="00B32200">
            <w:r>
              <w:t>Scope 2</w:t>
            </w:r>
          </w:p>
        </w:tc>
        <w:tc>
          <w:tcPr>
            <w:tcW w:w="1080" w:type="dxa"/>
            <w:vAlign w:val="bottom"/>
          </w:tcPr>
          <w:p w14:paraId="3A6B4666" w14:textId="3FA64146" w:rsidR="00B32200" w:rsidRDefault="00B32200" w:rsidP="00B32200">
            <w:pPr>
              <w:jc w:val="center"/>
            </w:pPr>
            <w:r w:rsidRPr="00B005CF">
              <w:rPr>
                <w:color w:val="000000"/>
              </w:rPr>
              <w:t>4,450.39</w:t>
            </w:r>
          </w:p>
        </w:tc>
        <w:tc>
          <w:tcPr>
            <w:tcW w:w="1080" w:type="dxa"/>
            <w:vAlign w:val="bottom"/>
          </w:tcPr>
          <w:p w14:paraId="407884D5" w14:textId="15C41077" w:rsidR="00B32200" w:rsidRDefault="00B32200" w:rsidP="00B32200">
            <w:pPr>
              <w:jc w:val="center"/>
            </w:pPr>
            <w:r w:rsidRPr="00B005CF">
              <w:rPr>
                <w:color w:val="000000"/>
              </w:rPr>
              <w:t>3,752.82</w:t>
            </w:r>
          </w:p>
        </w:tc>
        <w:tc>
          <w:tcPr>
            <w:tcW w:w="1440" w:type="dxa"/>
          </w:tcPr>
          <w:p w14:paraId="6A8CA7AF" w14:textId="6B06DD03" w:rsidR="00B32200" w:rsidRDefault="00B32200" w:rsidP="00B32200">
            <w:pPr>
              <w:jc w:val="center"/>
            </w:pPr>
            <w:r>
              <w:t>-3%</w:t>
            </w:r>
          </w:p>
        </w:tc>
        <w:tc>
          <w:tcPr>
            <w:tcW w:w="1440" w:type="dxa"/>
          </w:tcPr>
          <w:p w14:paraId="3109C947" w14:textId="611A9107" w:rsidR="00B32200" w:rsidRDefault="00B32200" w:rsidP="00B32200">
            <w:pPr>
              <w:jc w:val="center"/>
            </w:pPr>
            <w:r>
              <w:t>-3%</w:t>
            </w:r>
          </w:p>
        </w:tc>
        <w:tc>
          <w:tcPr>
            <w:tcW w:w="1440" w:type="dxa"/>
          </w:tcPr>
          <w:p w14:paraId="5F7B876D" w14:textId="72D06EF2" w:rsidR="00B32200" w:rsidRDefault="00B32200" w:rsidP="00B32200">
            <w:pPr>
              <w:jc w:val="center"/>
            </w:pPr>
            <w:r>
              <w:t>-3%</w:t>
            </w:r>
          </w:p>
        </w:tc>
      </w:tr>
      <w:tr w:rsidR="00B32200" w14:paraId="507EEF3D" w14:textId="5930290B" w:rsidTr="00B32200">
        <w:tc>
          <w:tcPr>
            <w:tcW w:w="1075" w:type="dxa"/>
          </w:tcPr>
          <w:p w14:paraId="2FB83113" w14:textId="7711F557" w:rsidR="00B32200" w:rsidRDefault="00B32200" w:rsidP="00B32200">
            <w:r>
              <w:t>Scope 3</w:t>
            </w:r>
          </w:p>
        </w:tc>
        <w:tc>
          <w:tcPr>
            <w:tcW w:w="1080" w:type="dxa"/>
            <w:vAlign w:val="bottom"/>
          </w:tcPr>
          <w:p w14:paraId="483F65BE" w14:textId="6822F8EA" w:rsidR="00B32200" w:rsidRDefault="00B32200" w:rsidP="00B32200">
            <w:pPr>
              <w:jc w:val="center"/>
            </w:pPr>
            <w:r>
              <w:rPr>
                <w:color w:val="000000"/>
              </w:rPr>
              <w:t>3,694.48</w:t>
            </w:r>
          </w:p>
        </w:tc>
        <w:tc>
          <w:tcPr>
            <w:tcW w:w="1080" w:type="dxa"/>
            <w:vAlign w:val="bottom"/>
          </w:tcPr>
          <w:p w14:paraId="432EFA92" w14:textId="1DB85051" w:rsidR="00B32200" w:rsidRDefault="00B32200" w:rsidP="00B32200">
            <w:pPr>
              <w:jc w:val="center"/>
            </w:pPr>
            <w:r w:rsidRPr="00B005CF">
              <w:rPr>
                <w:color w:val="000000"/>
              </w:rPr>
              <w:t>2,598.46</w:t>
            </w:r>
          </w:p>
        </w:tc>
        <w:tc>
          <w:tcPr>
            <w:tcW w:w="1440" w:type="dxa"/>
          </w:tcPr>
          <w:p w14:paraId="7C4F96FD" w14:textId="6DE4FAA8" w:rsidR="00B32200" w:rsidRDefault="00B32200" w:rsidP="00B32200">
            <w:pPr>
              <w:jc w:val="center"/>
            </w:pPr>
            <w:r>
              <w:t>No Reduction</w:t>
            </w:r>
          </w:p>
        </w:tc>
        <w:tc>
          <w:tcPr>
            <w:tcW w:w="1440" w:type="dxa"/>
          </w:tcPr>
          <w:p w14:paraId="146073F4" w14:textId="095766BA" w:rsidR="00B32200" w:rsidRDefault="00B32200" w:rsidP="00B32200">
            <w:pPr>
              <w:jc w:val="center"/>
            </w:pPr>
            <w:r>
              <w:t>No Reduction</w:t>
            </w:r>
          </w:p>
        </w:tc>
        <w:tc>
          <w:tcPr>
            <w:tcW w:w="1440" w:type="dxa"/>
          </w:tcPr>
          <w:p w14:paraId="534D1DD9" w14:textId="623981AF" w:rsidR="00B32200" w:rsidRDefault="00B32200" w:rsidP="00B32200">
            <w:pPr>
              <w:jc w:val="center"/>
            </w:pPr>
            <w:r>
              <w:t>No Reduction</w:t>
            </w:r>
          </w:p>
        </w:tc>
      </w:tr>
    </w:tbl>
    <w:p w14:paraId="0400F49F" w14:textId="1788CE7E" w:rsidR="00B32200" w:rsidRDefault="00B32200" w:rsidP="00B32200"/>
    <w:p w14:paraId="766668A0" w14:textId="15F92200" w:rsidR="005800B3" w:rsidRPr="005800B3" w:rsidRDefault="005800B3" w:rsidP="00B32200">
      <w:r>
        <w:rPr>
          <w:u w:val="single"/>
        </w:rPr>
        <w:t>Peer Institutions</w:t>
      </w:r>
      <w:r>
        <w:t xml:space="preserve">: </w:t>
      </w:r>
      <w:r w:rsidRPr="00754920">
        <w:rPr>
          <w:rFonts w:cstheme="minorHAnsi"/>
          <w:color w:val="0A0A0A"/>
          <w:shd w:val="clear" w:color="auto" w:fill="FFFFFF"/>
        </w:rPr>
        <w:t>Peer institution data is not readily available given the significant variance of the age of other institutional buildings, construction parameters, institutional and community infrastructure supporting carbon neutrality and related conditions.</w:t>
      </w:r>
    </w:p>
    <w:p w14:paraId="1A8C8807" w14:textId="77777777" w:rsidR="005800B3" w:rsidRDefault="005800B3" w:rsidP="00B32200"/>
    <w:p w14:paraId="3495EF73" w14:textId="53774ED4" w:rsidR="00E84EA1" w:rsidRPr="0044132F" w:rsidRDefault="0044132F" w:rsidP="00E84EA1">
      <w:r>
        <w:rPr>
          <w:u w:val="single"/>
        </w:rPr>
        <w:t>Progress</w:t>
      </w:r>
      <w:r>
        <w:t>: In 2023, all scopes saw a decrease: Scope 1 by 19.7%, scope 2 by 15.67, and scope 3 by 31.7%, far exceeding targets.</w:t>
      </w:r>
      <w:r w:rsidR="00664347">
        <w:t xml:space="preserve"> While staff are still exploring the reasons behind these successes, early indicators are Pacific Power providing additional renewable energy, upgrade of boilers and AC units, and energy efficient efforts with Energy Trust of Oregon’s strategic energy management program. </w:t>
      </w:r>
      <w:r>
        <w:t xml:space="preserve">2024 </w:t>
      </w:r>
      <w:r w:rsidR="00664347">
        <w:t xml:space="preserve">is currently under review. </w:t>
      </w:r>
    </w:p>
    <w:p w14:paraId="33681F55" w14:textId="0F957274" w:rsidR="00D85FC4" w:rsidRPr="000D7A58" w:rsidRDefault="00D85FC4" w:rsidP="00D85FC4">
      <w:pPr>
        <w:rPr>
          <w:rFonts w:cstheme="minorHAnsi"/>
        </w:rPr>
      </w:pPr>
    </w:p>
    <w:p w14:paraId="0E628309" w14:textId="50695D99" w:rsidR="00D85FC4" w:rsidRPr="000D7A58" w:rsidRDefault="00D85FC4" w:rsidP="00D85FC4">
      <w:pPr>
        <w:shd w:val="clear" w:color="auto" w:fill="FFE599" w:themeFill="accent4" w:themeFillTint="66"/>
        <w:tabs>
          <w:tab w:val="right" w:pos="9360"/>
        </w:tabs>
        <w:rPr>
          <w:rFonts w:cstheme="minorHAnsi"/>
          <w:b/>
        </w:rPr>
      </w:pPr>
      <w:r w:rsidRPr="000D7A58">
        <w:rPr>
          <w:rFonts w:cstheme="minorHAnsi"/>
          <w:b/>
        </w:rPr>
        <w:t xml:space="preserve">Employee </w:t>
      </w:r>
      <w:r w:rsidR="005800B3">
        <w:rPr>
          <w:rFonts w:cstheme="minorHAnsi"/>
          <w:b/>
        </w:rPr>
        <w:t>Turnover</w:t>
      </w:r>
      <w:r w:rsidRPr="000D7A58">
        <w:rPr>
          <w:rFonts w:cstheme="minorHAnsi"/>
          <w:b/>
        </w:rPr>
        <w:tab/>
      </w:r>
      <w:r w:rsidR="00C072B4" w:rsidRPr="000D7A58">
        <w:rPr>
          <w:rFonts w:cstheme="minorHAnsi"/>
          <w:b/>
        </w:rPr>
        <w:t>Laura Boehme</w:t>
      </w:r>
    </w:p>
    <w:p w14:paraId="7449ABD6" w14:textId="77777777" w:rsidR="00D85FC4" w:rsidRPr="000D7A58" w:rsidRDefault="00D85FC4" w:rsidP="00D85FC4">
      <w:pPr>
        <w:rPr>
          <w:rFonts w:cstheme="minorHAnsi"/>
          <w:bCs/>
        </w:rPr>
      </w:pPr>
    </w:p>
    <w:p w14:paraId="54E5384A" w14:textId="7DF77B05" w:rsidR="00E84EA1" w:rsidRPr="000D7A58" w:rsidRDefault="00E84EA1" w:rsidP="00E84EA1">
      <w:pPr>
        <w:rPr>
          <w:rFonts w:cstheme="minorHAnsi"/>
          <w:bCs/>
          <w:u w:val="single"/>
        </w:rPr>
      </w:pPr>
      <w:r w:rsidRPr="000D7A58">
        <w:rPr>
          <w:rFonts w:cstheme="minorHAnsi"/>
          <w:bCs/>
          <w:u w:val="single"/>
        </w:rPr>
        <w:t>Rationale for Indicator:</w:t>
      </w:r>
      <w:r w:rsidRPr="000D7A58">
        <w:rPr>
          <w:rFonts w:cstheme="minorHAnsi"/>
          <w:bCs/>
        </w:rPr>
        <w:t xml:space="preserve">  </w:t>
      </w:r>
      <w:r w:rsidR="005800B3" w:rsidRPr="000D7A58">
        <w:t xml:space="preserve">Being aware of and managing employee retention involves strategic actions by COCC to keep employees motivated and focused so they elect to remain employed and fully productive for the benefit of the College. </w:t>
      </w:r>
      <w:r w:rsidR="005800B3" w:rsidRPr="000D7A58">
        <w:rPr>
          <w:rStyle w:val="hgkelc"/>
          <w:lang w:val="en"/>
        </w:rPr>
        <w:t xml:space="preserve">A comprehensive employee retention program can play a vital role in both attracting and retaining key employees, as well as in reducing turnover and its related costs. </w:t>
      </w:r>
      <w:r w:rsidR="005800B3" w:rsidRPr="000D7A58">
        <w:t xml:space="preserve">By tracking employee </w:t>
      </w:r>
      <w:r w:rsidR="005800B3">
        <w:t>turnover</w:t>
      </w:r>
      <w:r w:rsidR="005800B3" w:rsidRPr="000D7A58">
        <w:t>, the College can continue to make our organization attractive to new and existing employees.</w:t>
      </w:r>
    </w:p>
    <w:p w14:paraId="78AD5C33" w14:textId="77777777" w:rsidR="00E84EA1" w:rsidRPr="000D7A58" w:rsidRDefault="00E84EA1" w:rsidP="00E84EA1">
      <w:pPr>
        <w:rPr>
          <w:rFonts w:cstheme="minorHAnsi"/>
          <w:bCs/>
          <w:u w:val="single"/>
        </w:rPr>
      </w:pPr>
    </w:p>
    <w:p w14:paraId="2DB71141" w14:textId="2FE7B6EE" w:rsidR="00E84EA1" w:rsidRPr="000D7A58" w:rsidRDefault="00E84EA1" w:rsidP="00E84EA1">
      <w:pPr>
        <w:rPr>
          <w:rStyle w:val="hgkelc"/>
          <w:lang w:val="en"/>
        </w:rPr>
      </w:pPr>
      <w:r w:rsidRPr="000D7A58">
        <w:rPr>
          <w:rFonts w:cstheme="minorHAnsi"/>
          <w:bCs/>
          <w:u w:val="single"/>
        </w:rPr>
        <w:t>Definition:</w:t>
      </w:r>
      <w:r w:rsidRPr="000D7A58">
        <w:rPr>
          <w:rFonts w:cstheme="minorHAnsi"/>
          <w:bCs/>
        </w:rPr>
        <w:t xml:space="preserve"> </w:t>
      </w:r>
      <w:r w:rsidR="005800B3" w:rsidRPr="000D7A58">
        <w:rPr>
          <w:rStyle w:val="hgkelc"/>
          <w:lang w:val="en"/>
        </w:rPr>
        <w:t xml:space="preserve">Employee turnover rate is determined by taking the number of </w:t>
      </w:r>
      <w:r w:rsidR="005800B3">
        <w:rPr>
          <w:rStyle w:val="hgkelc"/>
          <w:lang w:val="en"/>
        </w:rPr>
        <w:t>employees who left the College</w:t>
      </w:r>
      <w:r w:rsidR="005800B3" w:rsidRPr="000D7A58">
        <w:rPr>
          <w:rStyle w:val="hgkelc"/>
          <w:lang w:val="en"/>
        </w:rPr>
        <w:t xml:space="preserve"> in a given fiscal year and dividing it by the average number of employees during that same time period. The average number of employees is determined by adding the number of employees at year start (July) and number of employees at year end (June) and dividing by two.</w:t>
      </w:r>
    </w:p>
    <w:p w14:paraId="631DC6D9" w14:textId="77777777" w:rsidR="00E84EA1" w:rsidRPr="000D7A58" w:rsidRDefault="00E84EA1" w:rsidP="00E84EA1">
      <w:pPr>
        <w:rPr>
          <w:rFonts w:cstheme="minorHAnsi"/>
          <w:bCs/>
        </w:rPr>
      </w:pPr>
    </w:p>
    <w:p w14:paraId="086263AE" w14:textId="26DA15F3" w:rsidR="00E84EA1" w:rsidRPr="000D7A58" w:rsidRDefault="00E84EA1" w:rsidP="00E84EA1">
      <w:pPr>
        <w:rPr>
          <w:rFonts w:cstheme="minorHAnsi"/>
          <w:bCs/>
        </w:rPr>
      </w:pPr>
      <w:r w:rsidRPr="000D7A58">
        <w:rPr>
          <w:rFonts w:cstheme="minorHAnsi"/>
          <w:bCs/>
          <w:u w:val="single"/>
        </w:rPr>
        <w:t>Targets</w:t>
      </w:r>
      <w:r w:rsidR="005800B3" w:rsidRPr="005800B3">
        <w:rPr>
          <w:rFonts w:cstheme="minorHAnsi"/>
          <w:bCs/>
        </w:rPr>
        <w:t>:</w:t>
      </w:r>
    </w:p>
    <w:p w14:paraId="0370305E" w14:textId="01FC38F4" w:rsidR="0025283E" w:rsidRPr="000D7A58" w:rsidRDefault="0025283E" w:rsidP="00E84EA1">
      <w:pPr>
        <w:rPr>
          <w:rFonts w:cstheme="minorHAnsi"/>
          <w:bCs/>
        </w:rPr>
      </w:pPr>
    </w:p>
    <w:tbl>
      <w:tblPr>
        <w:tblStyle w:val="TableGrid"/>
        <w:tblW w:w="0" w:type="auto"/>
        <w:tblLook w:val="04A0" w:firstRow="1" w:lastRow="0" w:firstColumn="1" w:lastColumn="0" w:noHBand="0" w:noVBand="1"/>
      </w:tblPr>
      <w:tblGrid>
        <w:gridCol w:w="1615"/>
        <w:gridCol w:w="2083"/>
        <w:gridCol w:w="2083"/>
        <w:gridCol w:w="1774"/>
        <w:gridCol w:w="1795"/>
      </w:tblGrid>
      <w:tr w:rsidR="0025283E" w:rsidRPr="000D7A58" w14:paraId="6697169C" w14:textId="77777777" w:rsidTr="005800B3">
        <w:tc>
          <w:tcPr>
            <w:tcW w:w="1615" w:type="dxa"/>
            <w:tcBorders>
              <w:top w:val="nil"/>
              <w:left w:val="nil"/>
              <w:bottom w:val="single" w:sz="4" w:space="0" w:color="auto"/>
              <w:right w:val="single" w:sz="4" w:space="0" w:color="auto"/>
            </w:tcBorders>
          </w:tcPr>
          <w:p w14:paraId="17077E56" w14:textId="77777777" w:rsidR="0025283E" w:rsidRPr="000D7A58" w:rsidRDefault="0025283E" w:rsidP="00AA0510">
            <w:pPr>
              <w:rPr>
                <w:rFonts w:cstheme="minorHAnsi"/>
                <w:bCs/>
              </w:rPr>
            </w:pPr>
          </w:p>
        </w:tc>
        <w:tc>
          <w:tcPr>
            <w:tcW w:w="2083" w:type="dxa"/>
            <w:tcBorders>
              <w:left w:val="single" w:sz="4" w:space="0" w:color="auto"/>
              <w:bottom w:val="double" w:sz="4" w:space="0" w:color="auto"/>
            </w:tcBorders>
          </w:tcPr>
          <w:p w14:paraId="1586797E" w14:textId="77777777" w:rsidR="0025283E" w:rsidRPr="000D7A58" w:rsidRDefault="0025283E" w:rsidP="005800B3">
            <w:pPr>
              <w:jc w:val="center"/>
              <w:rPr>
                <w:rFonts w:cstheme="minorHAnsi"/>
                <w:bCs/>
              </w:rPr>
            </w:pPr>
            <w:r w:rsidRPr="000D7A58">
              <w:rPr>
                <w:rFonts w:cstheme="minorHAnsi"/>
                <w:bCs/>
              </w:rPr>
              <w:t>2023-24</w:t>
            </w:r>
          </w:p>
        </w:tc>
        <w:tc>
          <w:tcPr>
            <w:tcW w:w="2083" w:type="dxa"/>
            <w:tcBorders>
              <w:bottom w:val="double" w:sz="4" w:space="0" w:color="auto"/>
            </w:tcBorders>
          </w:tcPr>
          <w:p w14:paraId="62EF9EDA" w14:textId="77777777" w:rsidR="0025283E" w:rsidRPr="000D7A58" w:rsidRDefault="0025283E" w:rsidP="005800B3">
            <w:pPr>
              <w:jc w:val="center"/>
              <w:rPr>
                <w:rFonts w:cstheme="minorHAnsi"/>
                <w:bCs/>
              </w:rPr>
            </w:pPr>
            <w:r w:rsidRPr="000D7A58">
              <w:rPr>
                <w:rFonts w:cstheme="minorHAnsi"/>
                <w:bCs/>
              </w:rPr>
              <w:t>2024-25</w:t>
            </w:r>
          </w:p>
        </w:tc>
        <w:tc>
          <w:tcPr>
            <w:tcW w:w="1774" w:type="dxa"/>
            <w:tcBorders>
              <w:bottom w:val="double" w:sz="4" w:space="0" w:color="auto"/>
            </w:tcBorders>
          </w:tcPr>
          <w:p w14:paraId="1DAE075C" w14:textId="77777777" w:rsidR="0025283E" w:rsidRPr="000D7A58" w:rsidRDefault="0025283E" w:rsidP="005800B3">
            <w:pPr>
              <w:jc w:val="center"/>
              <w:rPr>
                <w:rFonts w:cstheme="minorHAnsi"/>
                <w:bCs/>
              </w:rPr>
            </w:pPr>
            <w:r w:rsidRPr="000D7A58">
              <w:rPr>
                <w:rFonts w:cstheme="minorHAnsi"/>
                <w:bCs/>
              </w:rPr>
              <w:t>2025-26</w:t>
            </w:r>
          </w:p>
        </w:tc>
        <w:tc>
          <w:tcPr>
            <w:tcW w:w="1795" w:type="dxa"/>
            <w:tcBorders>
              <w:bottom w:val="double" w:sz="4" w:space="0" w:color="auto"/>
            </w:tcBorders>
          </w:tcPr>
          <w:p w14:paraId="385D190F" w14:textId="77777777" w:rsidR="0025283E" w:rsidRPr="000D7A58" w:rsidRDefault="0025283E" w:rsidP="005800B3">
            <w:pPr>
              <w:jc w:val="center"/>
              <w:rPr>
                <w:rFonts w:cstheme="minorHAnsi"/>
                <w:bCs/>
              </w:rPr>
            </w:pPr>
            <w:r w:rsidRPr="000D7A58">
              <w:rPr>
                <w:rFonts w:cstheme="minorHAnsi"/>
                <w:bCs/>
              </w:rPr>
              <w:t>2026-27</w:t>
            </w:r>
          </w:p>
        </w:tc>
      </w:tr>
      <w:tr w:rsidR="0025283E" w:rsidRPr="000D7A58" w14:paraId="4551843D" w14:textId="77777777" w:rsidTr="005800B3">
        <w:tc>
          <w:tcPr>
            <w:tcW w:w="1615" w:type="dxa"/>
            <w:tcBorders>
              <w:top w:val="single" w:sz="4" w:space="0" w:color="auto"/>
            </w:tcBorders>
          </w:tcPr>
          <w:p w14:paraId="5BFFD186" w14:textId="36D00D8A" w:rsidR="0025283E" w:rsidRPr="000D7A58" w:rsidRDefault="0025283E" w:rsidP="00AA0510">
            <w:r w:rsidRPr="000D7A58">
              <w:t>Met</w:t>
            </w:r>
          </w:p>
        </w:tc>
        <w:tc>
          <w:tcPr>
            <w:tcW w:w="2083" w:type="dxa"/>
            <w:tcBorders>
              <w:top w:val="double" w:sz="4" w:space="0" w:color="auto"/>
            </w:tcBorders>
          </w:tcPr>
          <w:p w14:paraId="0015F2FA" w14:textId="1A76A937" w:rsidR="0025283E" w:rsidRPr="000D7A58" w:rsidRDefault="0025283E" w:rsidP="005800B3">
            <w:pPr>
              <w:jc w:val="center"/>
            </w:pPr>
            <w:r w:rsidRPr="000D7A58">
              <w:t>14% or less</w:t>
            </w:r>
          </w:p>
        </w:tc>
        <w:tc>
          <w:tcPr>
            <w:tcW w:w="2083" w:type="dxa"/>
            <w:tcBorders>
              <w:top w:val="double" w:sz="4" w:space="0" w:color="auto"/>
            </w:tcBorders>
          </w:tcPr>
          <w:p w14:paraId="65170682" w14:textId="3CA7C65C" w:rsidR="0025283E" w:rsidRPr="000D7A58" w:rsidRDefault="0025283E" w:rsidP="005800B3">
            <w:pPr>
              <w:jc w:val="center"/>
            </w:pPr>
            <w:r w:rsidRPr="000D7A58">
              <w:t>14% or less</w:t>
            </w:r>
          </w:p>
        </w:tc>
        <w:tc>
          <w:tcPr>
            <w:tcW w:w="1774" w:type="dxa"/>
            <w:tcBorders>
              <w:top w:val="double" w:sz="4" w:space="0" w:color="auto"/>
            </w:tcBorders>
          </w:tcPr>
          <w:p w14:paraId="3F619114" w14:textId="2FA15CDD" w:rsidR="0025283E" w:rsidRPr="000D7A58" w:rsidRDefault="0025283E" w:rsidP="005800B3">
            <w:pPr>
              <w:jc w:val="center"/>
            </w:pPr>
            <w:r w:rsidRPr="000D7A58">
              <w:t>13% or less</w:t>
            </w:r>
          </w:p>
        </w:tc>
        <w:tc>
          <w:tcPr>
            <w:tcW w:w="1795" w:type="dxa"/>
            <w:tcBorders>
              <w:top w:val="double" w:sz="4" w:space="0" w:color="auto"/>
            </w:tcBorders>
          </w:tcPr>
          <w:p w14:paraId="1D078A4E" w14:textId="13F7576B" w:rsidR="0025283E" w:rsidRPr="000D7A58" w:rsidRDefault="0025283E" w:rsidP="005800B3">
            <w:pPr>
              <w:jc w:val="center"/>
              <w:rPr>
                <w:rFonts w:cstheme="minorHAnsi"/>
                <w:bCs/>
              </w:rPr>
            </w:pPr>
            <w:r w:rsidRPr="000D7A58">
              <w:rPr>
                <w:rFonts w:cstheme="minorHAnsi"/>
                <w:bCs/>
              </w:rPr>
              <w:t>12% or less</w:t>
            </w:r>
          </w:p>
        </w:tc>
      </w:tr>
      <w:tr w:rsidR="0025283E" w:rsidRPr="000D7A58" w14:paraId="59DE5650" w14:textId="77777777" w:rsidTr="00AA0510">
        <w:tc>
          <w:tcPr>
            <w:tcW w:w="1615" w:type="dxa"/>
          </w:tcPr>
          <w:p w14:paraId="634AF0F3" w14:textId="77777777" w:rsidR="0025283E" w:rsidRPr="000D7A58" w:rsidRDefault="0025283E" w:rsidP="00AA0510">
            <w:r w:rsidRPr="000D7A58">
              <w:t>Almost Met</w:t>
            </w:r>
          </w:p>
        </w:tc>
        <w:tc>
          <w:tcPr>
            <w:tcW w:w="2083" w:type="dxa"/>
          </w:tcPr>
          <w:p w14:paraId="4D0A7D7B" w14:textId="617A0D27" w:rsidR="0025283E" w:rsidRPr="000D7A58" w:rsidRDefault="0025283E" w:rsidP="005800B3">
            <w:pPr>
              <w:jc w:val="center"/>
            </w:pPr>
            <w:r w:rsidRPr="000D7A58">
              <w:t>14 – 16%</w:t>
            </w:r>
          </w:p>
        </w:tc>
        <w:tc>
          <w:tcPr>
            <w:tcW w:w="2083" w:type="dxa"/>
          </w:tcPr>
          <w:p w14:paraId="267CC468" w14:textId="3018E44B" w:rsidR="0025283E" w:rsidRPr="000D7A58" w:rsidRDefault="0025283E" w:rsidP="005800B3">
            <w:pPr>
              <w:jc w:val="center"/>
            </w:pPr>
            <w:r w:rsidRPr="000D7A58">
              <w:t>14 – 16%</w:t>
            </w:r>
          </w:p>
        </w:tc>
        <w:tc>
          <w:tcPr>
            <w:tcW w:w="1774" w:type="dxa"/>
          </w:tcPr>
          <w:p w14:paraId="1B8792C4" w14:textId="1D57C3D1" w:rsidR="0025283E" w:rsidRPr="000D7A58" w:rsidRDefault="0025283E" w:rsidP="005800B3">
            <w:pPr>
              <w:jc w:val="center"/>
            </w:pPr>
            <w:r w:rsidRPr="000D7A58">
              <w:t>13 – 15%</w:t>
            </w:r>
          </w:p>
        </w:tc>
        <w:tc>
          <w:tcPr>
            <w:tcW w:w="1795" w:type="dxa"/>
          </w:tcPr>
          <w:p w14:paraId="3B161988" w14:textId="31359E29" w:rsidR="0025283E" w:rsidRPr="000D7A58" w:rsidRDefault="0025283E" w:rsidP="005800B3">
            <w:pPr>
              <w:jc w:val="center"/>
              <w:rPr>
                <w:rFonts w:cstheme="minorHAnsi"/>
                <w:bCs/>
              </w:rPr>
            </w:pPr>
            <w:r w:rsidRPr="000D7A58">
              <w:rPr>
                <w:rFonts w:cstheme="minorHAnsi"/>
                <w:bCs/>
              </w:rPr>
              <w:t>12 – 13%</w:t>
            </w:r>
          </w:p>
        </w:tc>
      </w:tr>
      <w:tr w:rsidR="0025283E" w:rsidRPr="000D7A58" w14:paraId="6A07DAE8" w14:textId="77777777" w:rsidTr="00AA0510">
        <w:tc>
          <w:tcPr>
            <w:tcW w:w="1615" w:type="dxa"/>
          </w:tcPr>
          <w:p w14:paraId="41A22815" w14:textId="77777777" w:rsidR="0025283E" w:rsidRPr="000D7A58" w:rsidRDefault="0025283E" w:rsidP="00AA0510">
            <w:r w:rsidRPr="000D7A58">
              <w:t>Not Met</w:t>
            </w:r>
          </w:p>
        </w:tc>
        <w:tc>
          <w:tcPr>
            <w:tcW w:w="2083" w:type="dxa"/>
          </w:tcPr>
          <w:p w14:paraId="04E8927C" w14:textId="7C426550" w:rsidR="0025283E" w:rsidRPr="000D7A58" w:rsidRDefault="0025283E" w:rsidP="005800B3">
            <w:pPr>
              <w:jc w:val="center"/>
            </w:pPr>
            <w:r w:rsidRPr="000D7A58">
              <w:t>16% or greater</w:t>
            </w:r>
          </w:p>
        </w:tc>
        <w:tc>
          <w:tcPr>
            <w:tcW w:w="2083" w:type="dxa"/>
          </w:tcPr>
          <w:p w14:paraId="69486541" w14:textId="022F25E3" w:rsidR="0025283E" w:rsidRPr="000D7A58" w:rsidRDefault="0025283E" w:rsidP="005800B3">
            <w:pPr>
              <w:jc w:val="center"/>
            </w:pPr>
            <w:r w:rsidRPr="000D7A58">
              <w:t>16 or greater</w:t>
            </w:r>
          </w:p>
        </w:tc>
        <w:tc>
          <w:tcPr>
            <w:tcW w:w="1774" w:type="dxa"/>
          </w:tcPr>
          <w:p w14:paraId="19615006" w14:textId="5EA1D9D8" w:rsidR="0025283E" w:rsidRPr="000D7A58" w:rsidRDefault="0025283E" w:rsidP="005800B3">
            <w:pPr>
              <w:jc w:val="center"/>
            </w:pPr>
            <w:r w:rsidRPr="000D7A58">
              <w:t>15 or greater</w:t>
            </w:r>
          </w:p>
        </w:tc>
        <w:tc>
          <w:tcPr>
            <w:tcW w:w="1795" w:type="dxa"/>
          </w:tcPr>
          <w:p w14:paraId="4547AEC0" w14:textId="291325E7" w:rsidR="0025283E" w:rsidRPr="000D7A58" w:rsidRDefault="0025283E" w:rsidP="005800B3">
            <w:pPr>
              <w:jc w:val="center"/>
              <w:rPr>
                <w:rFonts w:cstheme="minorHAnsi"/>
                <w:bCs/>
              </w:rPr>
            </w:pPr>
            <w:r w:rsidRPr="000D7A58">
              <w:rPr>
                <w:rFonts w:cstheme="minorHAnsi"/>
                <w:bCs/>
              </w:rPr>
              <w:t>13</w:t>
            </w:r>
            <w:r w:rsidRPr="000D7A58">
              <w:t xml:space="preserve"> or greater</w:t>
            </w:r>
          </w:p>
        </w:tc>
      </w:tr>
    </w:tbl>
    <w:p w14:paraId="4421A1F6" w14:textId="77777777" w:rsidR="0025283E" w:rsidRPr="000D7A58" w:rsidRDefault="0025283E" w:rsidP="00E84EA1">
      <w:pPr>
        <w:rPr>
          <w:rFonts w:cstheme="minorHAnsi"/>
          <w:bCs/>
        </w:rPr>
      </w:pPr>
    </w:p>
    <w:p w14:paraId="270ABC19" w14:textId="231808B6" w:rsidR="005800B3" w:rsidRDefault="005800B3" w:rsidP="00E84EA1">
      <w:r>
        <w:rPr>
          <w:rFonts w:cstheme="minorHAnsi"/>
          <w:bCs/>
          <w:u w:val="single"/>
        </w:rPr>
        <w:t xml:space="preserve">Peer </w:t>
      </w:r>
      <w:r w:rsidRPr="005800B3">
        <w:rPr>
          <w:rFonts w:cstheme="minorHAnsi"/>
          <w:bCs/>
          <w:u w:val="single"/>
        </w:rPr>
        <w:t>Institutions</w:t>
      </w:r>
      <w:r>
        <w:rPr>
          <w:rFonts w:cstheme="minorHAnsi"/>
          <w:bCs/>
        </w:rPr>
        <w:t xml:space="preserve">: </w:t>
      </w:r>
      <w:r>
        <w:t xml:space="preserve">Other Oregon community colleges do not track this information. However, this could be considered as a future indicator to include if the College engages in data sharing agreements with IPEDS comparators. That said, nationally, the College and University Personnel Administration Higher </w:t>
      </w:r>
      <w:r>
        <w:lastRenderedPageBreak/>
        <w:t>Education Retention Survey indicates that the 2022 -23 turnover rate for exempt employees (faculty and administrators) was 14.3% and non-exempt (classified) staff was 15.2% It is important to note that this includes all U.S. colleges and universities.</w:t>
      </w:r>
    </w:p>
    <w:p w14:paraId="538F6504" w14:textId="3F233B4C" w:rsidR="005800B3" w:rsidRDefault="005800B3" w:rsidP="00E84EA1"/>
    <w:p w14:paraId="6AD1E478" w14:textId="3B7021C3" w:rsidR="00CF0813" w:rsidRPr="006C7221" w:rsidRDefault="005800B3" w:rsidP="005800B3">
      <w:pPr>
        <w:rPr>
          <w:rFonts w:cstheme="minorHAnsi"/>
          <w:b/>
          <w:bCs/>
        </w:rPr>
      </w:pPr>
      <w:r w:rsidRPr="00065058">
        <w:rPr>
          <w:u w:val="single"/>
        </w:rPr>
        <w:t>Progress</w:t>
      </w:r>
      <w:r w:rsidRPr="00065058">
        <w:t xml:space="preserve">: </w:t>
      </w:r>
      <w:r w:rsidR="00065058" w:rsidRPr="00065058">
        <w:t>The preliminary 2024-25 employee turnover rate is 7%, far exceeding our standard for meeting this indicator.</w:t>
      </w:r>
      <w:r w:rsidR="00065058">
        <w:t xml:space="preserve"> This indicator will be updated in summer 2025.</w:t>
      </w:r>
    </w:p>
    <w:sectPr w:rsidR="00CF0813" w:rsidRPr="006C7221" w:rsidSect="006C72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9841" w14:textId="77777777" w:rsidR="00D20671" w:rsidRDefault="00D20671">
      <w:r>
        <w:separator/>
      </w:r>
    </w:p>
  </w:endnote>
  <w:endnote w:type="continuationSeparator" w:id="0">
    <w:p w14:paraId="5EF0AD38" w14:textId="77777777" w:rsidR="00D20671" w:rsidRDefault="00D2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0A40" w14:textId="2D262AA8" w:rsidR="00233311" w:rsidRDefault="00233311" w:rsidP="00233311">
    <w:pPr>
      <w:pStyle w:val="Footer"/>
      <w:jc w:val="right"/>
    </w:pPr>
    <w:r>
      <w:t xml:space="preserve">2023-27 Strategic Plan Indicators </w:t>
    </w:r>
    <w:r w:rsidR="007D719A">
      <w:t>– Year Two Mission Fulfillment Report *</w:t>
    </w:r>
    <w:r>
      <w:t xml:space="preserve">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486B" w14:textId="77777777" w:rsidR="00D20671" w:rsidRDefault="00D20671">
      <w:r>
        <w:separator/>
      </w:r>
    </w:p>
  </w:footnote>
  <w:footnote w:type="continuationSeparator" w:id="0">
    <w:p w14:paraId="30AA5544" w14:textId="77777777" w:rsidR="00D20671" w:rsidRDefault="00D2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C826" w14:textId="77777777" w:rsidR="00584476" w:rsidRPr="003751F4" w:rsidRDefault="00D20671" w:rsidP="00BE1929">
    <w:pPr>
      <w:pStyle w:val="Footer"/>
      <w:jc w:val="right"/>
    </w:pPr>
  </w:p>
  <w:p w14:paraId="09DB3E83" w14:textId="77777777" w:rsidR="00BE1929" w:rsidRDefault="00D2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812"/>
    <w:multiLevelType w:val="hybridMultilevel"/>
    <w:tmpl w:val="9E9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F28DF"/>
    <w:multiLevelType w:val="hybridMultilevel"/>
    <w:tmpl w:val="391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1810"/>
    <w:multiLevelType w:val="hybridMultilevel"/>
    <w:tmpl w:val="8348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61683"/>
    <w:multiLevelType w:val="hybridMultilevel"/>
    <w:tmpl w:val="C860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B4391"/>
    <w:multiLevelType w:val="hybridMultilevel"/>
    <w:tmpl w:val="2BD8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45E62"/>
    <w:multiLevelType w:val="hybridMultilevel"/>
    <w:tmpl w:val="26DC217E"/>
    <w:lvl w:ilvl="0" w:tplc="56BE3A6C">
      <w:start w:val="1"/>
      <w:numFmt w:val="bullet"/>
      <w:lvlText w:val="•"/>
      <w:lvlJc w:val="left"/>
      <w:pPr>
        <w:tabs>
          <w:tab w:val="num" w:pos="720"/>
        </w:tabs>
        <w:ind w:left="720" w:hanging="360"/>
      </w:pPr>
      <w:rPr>
        <w:rFonts w:ascii="Arial" w:hAnsi="Arial" w:hint="default"/>
      </w:rPr>
    </w:lvl>
    <w:lvl w:ilvl="1" w:tplc="94AC3038" w:tentative="1">
      <w:start w:val="1"/>
      <w:numFmt w:val="bullet"/>
      <w:lvlText w:val="•"/>
      <w:lvlJc w:val="left"/>
      <w:pPr>
        <w:tabs>
          <w:tab w:val="num" w:pos="1440"/>
        </w:tabs>
        <w:ind w:left="1440" w:hanging="360"/>
      </w:pPr>
      <w:rPr>
        <w:rFonts w:ascii="Arial" w:hAnsi="Arial" w:hint="default"/>
      </w:rPr>
    </w:lvl>
    <w:lvl w:ilvl="2" w:tplc="5FEA25A2" w:tentative="1">
      <w:start w:val="1"/>
      <w:numFmt w:val="bullet"/>
      <w:lvlText w:val="•"/>
      <w:lvlJc w:val="left"/>
      <w:pPr>
        <w:tabs>
          <w:tab w:val="num" w:pos="2160"/>
        </w:tabs>
        <w:ind w:left="2160" w:hanging="360"/>
      </w:pPr>
      <w:rPr>
        <w:rFonts w:ascii="Arial" w:hAnsi="Arial" w:hint="default"/>
      </w:rPr>
    </w:lvl>
    <w:lvl w:ilvl="3" w:tplc="3DC060E4" w:tentative="1">
      <w:start w:val="1"/>
      <w:numFmt w:val="bullet"/>
      <w:lvlText w:val="•"/>
      <w:lvlJc w:val="left"/>
      <w:pPr>
        <w:tabs>
          <w:tab w:val="num" w:pos="2880"/>
        </w:tabs>
        <w:ind w:left="2880" w:hanging="360"/>
      </w:pPr>
      <w:rPr>
        <w:rFonts w:ascii="Arial" w:hAnsi="Arial" w:hint="default"/>
      </w:rPr>
    </w:lvl>
    <w:lvl w:ilvl="4" w:tplc="6CBCF30A" w:tentative="1">
      <w:start w:val="1"/>
      <w:numFmt w:val="bullet"/>
      <w:lvlText w:val="•"/>
      <w:lvlJc w:val="left"/>
      <w:pPr>
        <w:tabs>
          <w:tab w:val="num" w:pos="3600"/>
        </w:tabs>
        <w:ind w:left="3600" w:hanging="360"/>
      </w:pPr>
      <w:rPr>
        <w:rFonts w:ascii="Arial" w:hAnsi="Arial" w:hint="default"/>
      </w:rPr>
    </w:lvl>
    <w:lvl w:ilvl="5" w:tplc="6A48DF7A" w:tentative="1">
      <w:start w:val="1"/>
      <w:numFmt w:val="bullet"/>
      <w:lvlText w:val="•"/>
      <w:lvlJc w:val="left"/>
      <w:pPr>
        <w:tabs>
          <w:tab w:val="num" w:pos="4320"/>
        </w:tabs>
        <w:ind w:left="4320" w:hanging="360"/>
      </w:pPr>
      <w:rPr>
        <w:rFonts w:ascii="Arial" w:hAnsi="Arial" w:hint="default"/>
      </w:rPr>
    </w:lvl>
    <w:lvl w:ilvl="6" w:tplc="0688C8C0" w:tentative="1">
      <w:start w:val="1"/>
      <w:numFmt w:val="bullet"/>
      <w:lvlText w:val="•"/>
      <w:lvlJc w:val="left"/>
      <w:pPr>
        <w:tabs>
          <w:tab w:val="num" w:pos="5040"/>
        </w:tabs>
        <w:ind w:left="5040" w:hanging="360"/>
      </w:pPr>
      <w:rPr>
        <w:rFonts w:ascii="Arial" w:hAnsi="Arial" w:hint="default"/>
      </w:rPr>
    </w:lvl>
    <w:lvl w:ilvl="7" w:tplc="22FC9DAA" w:tentative="1">
      <w:start w:val="1"/>
      <w:numFmt w:val="bullet"/>
      <w:lvlText w:val="•"/>
      <w:lvlJc w:val="left"/>
      <w:pPr>
        <w:tabs>
          <w:tab w:val="num" w:pos="5760"/>
        </w:tabs>
        <w:ind w:left="5760" w:hanging="360"/>
      </w:pPr>
      <w:rPr>
        <w:rFonts w:ascii="Arial" w:hAnsi="Arial" w:hint="default"/>
      </w:rPr>
    </w:lvl>
    <w:lvl w:ilvl="8" w:tplc="08B693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B5516D"/>
    <w:multiLevelType w:val="hybridMultilevel"/>
    <w:tmpl w:val="F7A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56588"/>
    <w:multiLevelType w:val="hybridMultilevel"/>
    <w:tmpl w:val="CB40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32B96"/>
    <w:multiLevelType w:val="hybridMultilevel"/>
    <w:tmpl w:val="ADEE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85FCF"/>
    <w:multiLevelType w:val="hybridMultilevel"/>
    <w:tmpl w:val="C5303C8A"/>
    <w:lvl w:ilvl="0" w:tplc="0DAE24A4">
      <w:start w:val="1"/>
      <w:numFmt w:val="bullet"/>
      <w:lvlText w:val="•"/>
      <w:lvlJc w:val="left"/>
      <w:pPr>
        <w:tabs>
          <w:tab w:val="num" w:pos="720"/>
        </w:tabs>
        <w:ind w:left="720" w:hanging="360"/>
      </w:pPr>
      <w:rPr>
        <w:rFonts w:ascii="Arial" w:hAnsi="Arial" w:hint="default"/>
      </w:rPr>
    </w:lvl>
    <w:lvl w:ilvl="1" w:tplc="1DC8FC98" w:tentative="1">
      <w:start w:val="1"/>
      <w:numFmt w:val="bullet"/>
      <w:lvlText w:val="•"/>
      <w:lvlJc w:val="left"/>
      <w:pPr>
        <w:tabs>
          <w:tab w:val="num" w:pos="1440"/>
        </w:tabs>
        <w:ind w:left="1440" w:hanging="360"/>
      </w:pPr>
      <w:rPr>
        <w:rFonts w:ascii="Arial" w:hAnsi="Arial" w:hint="default"/>
      </w:rPr>
    </w:lvl>
    <w:lvl w:ilvl="2" w:tplc="07BAC8E8" w:tentative="1">
      <w:start w:val="1"/>
      <w:numFmt w:val="bullet"/>
      <w:lvlText w:val="•"/>
      <w:lvlJc w:val="left"/>
      <w:pPr>
        <w:tabs>
          <w:tab w:val="num" w:pos="2160"/>
        </w:tabs>
        <w:ind w:left="2160" w:hanging="360"/>
      </w:pPr>
      <w:rPr>
        <w:rFonts w:ascii="Arial" w:hAnsi="Arial" w:hint="default"/>
      </w:rPr>
    </w:lvl>
    <w:lvl w:ilvl="3" w:tplc="00AC2BD4" w:tentative="1">
      <w:start w:val="1"/>
      <w:numFmt w:val="bullet"/>
      <w:lvlText w:val="•"/>
      <w:lvlJc w:val="left"/>
      <w:pPr>
        <w:tabs>
          <w:tab w:val="num" w:pos="2880"/>
        </w:tabs>
        <w:ind w:left="2880" w:hanging="360"/>
      </w:pPr>
      <w:rPr>
        <w:rFonts w:ascii="Arial" w:hAnsi="Arial" w:hint="default"/>
      </w:rPr>
    </w:lvl>
    <w:lvl w:ilvl="4" w:tplc="F162D6E4" w:tentative="1">
      <w:start w:val="1"/>
      <w:numFmt w:val="bullet"/>
      <w:lvlText w:val="•"/>
      <w:lvlJc w:val="left"/>
      <w:pPr>
        <w:tabs>
          <w:tab w:val="num" w:pos="3600"/>
        </w:tabs>
        <w:ind w:left="3600" w:hanging="360"/>
      </w:pPr>
      <w:rPr>
        <w:rFonts w:ascii="Arial" w:hAnsi="Arial" w:hint="default"/>
      </w:rPr>
    </w:lvl>
    <w:lvl w:ilvl="5" w:tplc="8C0E66AC" w:tentative="1">
      <w:start w:val="1"/>
      <w:numFmt w:val="bullet"/>
      <w:lvlText w:val="•"/>
      <w:lvlJc w:val="left"/>
      <w:pPr>
        <w:tabs>
          <w:tab w:val="num" w:pos="4320"/>
        </w:tabs>
        <w:ind w:left="4320" w:hanging="360"/>
      </w:pPr>
      <w:rPr>
        <w:rFonts w:ascii="Arial" w:hAnsi="Arial" w:hint="default"/>
      </w:rPr>
    </w:lvl>
    <w:lvl w:ilvl="6" w:tplc="36802108" w:tentative="1">
      <w:start w:val="1"/>
      <w:numFmt w:val="bullet"/>
      <w:lvlText w:val="•"/>
      <w:lvlJc w:val="left"/>
      <w:pPr>
        <w:tabs>
          <w:tab w:val="num" w:pos="5040"/>
        </w:tabs>
        <w:ind w:left="5040" w:hanging="360"/>
      </w:pPr>
      <w:rPr>
        <w:rFonts w:ascii="Arial" w:hAnsi="Arial" w:hint="default"/>
      </w:rPr>
    </w:lvl>
    <w:lvl w:ilvl="7" w:tplc="77EE51DE" w:tentative="1">
      <w:start w:val="1"/>
      <w:numFmt w:val="bullet"/>
      <w:lvlText w:val="•"/>
      <w:lvlJc w:val="left"/>
      <w:pPr>
        <w:tabs>
          <w:tab w:val="num" w:pos="5760"/>
        </w:tabs>
        <w:ind w:left="5760" w:hanging="360"/>
      </w:pPr>
      <w:rPr>
        <w:rFonts w:ascii="Arial" w:hAnsi="Arial" w:hint="default"/>
      </w:rPr>
    </w:lvl>
    <w:lvl w:ilvl="8" w:tplc="27A67D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BC043B"/>
    <w:multiLevelType w:val="hybridMultilevel"/>
    <w:tmpl w:val="113A3FBE"/>
    <w:lvl w:ilvl="0" w:tplc="CAA015DE">
      <w:start w:val="1"/>
      <w:numFmt w:val="bullet"/>
      <w:lvlText w:val="•"/>
      <w:lvlJc w:val="left"/>
      <w:pPr>
        <w:tabs>
          <w:tab w:val="num" w:pos="720"/>
        </w:tabs>
        <w:ind w:left="720" w:hanging="360"/>
      </w:pPr>
      <w:rPr>
        <w:rFonts w:ascii="Arial" w:hAnsi="Arial" w:hint="default"/>
      </w:rPr>
    </w:lvl>
    <w:lvl w:ilvl="1" w:tplc="259AD770">
      <w:start w:val="1"/>
      <w:numFmt w:val="bullet"/>
      <w:lvlText w:val="•"/>
      <w:lvlJc w:val="left"/>
      <w:pPr>
        <w:tabs>
          <w:tab w:val="num" w:pos="1440"/>
        </w:tabs>
        <w:ind w:left="1440" w:hanging="360"/>
      </w:pPr>
      <w:rPr>
        <w:rFonts w:ascii="Arial" w:hAnsi="Arial" w:hint="default"/>
      </w:rPr>
    </w:lvl>
    <w:lvl w:ilvl="2" w:tplc="6FA2294E" w:tentative="1">
      <w:start w:val="1"/>
      <w:numFmt w:val="bullet"/>
      <w:lvlText w:val="•"/>
      <w:lvlJc w:val="left"/>
      <w:pPr>
        <w:tabs>
          <w:tab w:val="num" w:pos="2160"/>
        </w:tabs>
        <w:ind w:left="2160" w:hanging="360"/>
      </w:pPr>
      <w:rPr>
        <w:rFonts w:ascii="Arial" w:hAnsi="Arial" w:hint="default"/>
      </w:rPr>
    </w:lvl>
    <w:lvl w:ilvl="3" w:tplc="044E8A64" w:tentative="1">
      <w:start w:val="1"/>
      <w:numFmt w:val="bullet"/>
      <w:lvlText w:val="•"/>
      <w:lvlJc w:val="left"/>
      <w:pPr>
        <w:tabs>
          <w:tab w:val="num" w:pos="2880"/>
        </w:tabs>
        <w:ind w:left="2880" w:hanging="360"/>
      </w:pPr>
      <w:rPr>
        <w:rFonts w:ascii="Arial" w:hAnsi="Arial" w:hint="default"/>
      </w:rPr>
    </w:lvl>
    <w:lvl w:ilvl="4" w:tplc="ABD205FC" w:tentative="1">
      <w:start w:val="1"/>
      <w:numFmt w:val="bullet"/>
      <w:lvlText w:val="•"/>
      <w:lvlJc w:val="left"/>
      <w:pPr>
        <w:tabs>
          <w:tab w:val="num" w:pos="3600"/>
        </w:tabs>
        <w:ind w:left="3600" w:hanging="360"/>
      </w:pPr>
      <w:rPr>
        <w:rFonts w:ascii="Arial" w:hAnsi="Arial" w:hint="default"/>
      </w:rPr>
    </w:lvl>
    <w:lvl w:ilvl="5" w:tplc="E344568C" w:tentative="1">
      <w:start w:val="1"/>
      <w:numFmt w:val="bullet"/>
      <w:lvlText w:val="•"/>
      <w:lvlJc w:val="left"/>
      <w:pPr>
        <w:tabs>
          <w:tab w:val="num" w:pos="4320"/>
        </w:tabs>
        <w:ind w:left="4320" w:hanging="360"/>
      </w:pPr>
      <w:rPr>
        <w:rFonts w:ascii="Arial" w:hAnsi="Arial" w:hint="default"/>
      </w:rPr>
    </w:lvl>
    <w:lvl w:ilvl="6" w:tplc="BE6487B8" w:tentative="1">
      <w:start w:val="1"/>
      <w:numFmt w:val="bullet"/>
      <w:lvlText w:val="•"/>
      <w:lvlJc w:val="left"/>
      <w:pPr>
        <w:tabs>
          <w:tab w:val="num" w:pos="5040"/>
        </w:tabs>
        <w:ind w:left="5040" w:hanging="360"/>
      </w:pPr>
      <w:rPr>
        <w:rFonts w:ascii="Arial" w:hAnsi="Arial" w:hint="default"/>
      </w:rPr>
    </w:lvl>
    <w:lvl w:ilvl="7" w:tplc="04A48B9C" w:tentative="1">
      <w:start w:val="1"/>
      <w:numFmt w:val="bullet"/>
      <w:lvlText w:val="•"/>
      <w:lvlJc w:val="left"/>
      <w:pPr>
        <w:tabs>
          <w:tab w:val="num" w:pos="5760"/>
        </w:tabs>
        <w:ind w:left="5760" w:hanging="360"/>
      </w:pPr>
      <w:rPr>
        <w:rFonts w:ascii="Arial" w:hAnsi="Arial" w:hint="default"/>
      </w:rPr>
    </w:lvl>
    <w:lvl w:ilvl="8" w:tplc="876220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E70607"/>
    <w:multiLevelType w:val="hybridMultilevel"/>
    <w:tmpl w:val="CC902CB8"/>
    <w:lvl w:ilvl="0" w:tplc="0E285C96">
      <w:start w:val="1"/>
      <w:numFmt w:val="bullet"/>
      <w:lvlText w:val="•"/>
      <w:lvlJc w:val="left"/>
      <w:pPr>
        <w:tabs>
          <w:tab w:val="num" w:pos="720"/>
        </w:tabs>
        <w:ind w:left="720" w:hanging="360"/>
      </w:pPr>
      <w:rPr>
        <w:rFonts w:ascii="Arial" w:hAnsi="Arial" w:hint="default"/>
      </w:rPr>
    </w:lvl>
    <w:lvl w:ilvl="1" w:tplc="6BC01400" w:tentative="1">
      <w:start w:val="1"/>
      <w:numFmt w:val="bullet"/>
      <w:lvlText w:val="•"/>
      <w:lvlJc w:val="left"/>
      <w:pPr>
        <w:tabs>
          <w:tab w:val="num" w:pos="1440"/>
        </w:tabs>
        <w:ind w:left="1440" w:hanging="360"/>
      </w:pPr>
      <w:rPr>
        <w:rFonts w:ascii="Arial" w:hAnsi="Arial" w:hint="default"/>
      </w:rPr>
    </w:lvl>
    <w:lvl w:ilvl="2" w:tplc="9A24EC04" w:tentative="1">
      <w:start w:val="1"/>
      <w:numFmt w:val="bullet"/>
      <w:lvlText w:val="•"/>
      <w:lvlJc w:val="left"/>
      <w:pPr>
        <w:tabs>
          <w:tab w:val="num" w:pos="2160"/>
        </w:tabs>
        <w:ind w:left="2160" w:hanging="360"/>
      </w:pPr>
      <w:rPr>
        <w:rFonts w:ascii="Arial" w:hAnsi="Arial" w:hint="default"/>
      </w:rPr>
    </w:lvl>
    <w:lvl w:ilvl="3" w:tplc="1576A4EA" w:tentative="1">
      <w:start w:val="1"/>
      <w:numFmt w:val="bullet"/>
      <w:lvlText w:val="•"/>
      <w:lvlJc w:val="left"/>
      <w:pPr>
        <w:tabs>
          <w:tab w:val="num" w:pos="2880"/>
        </w:tabs>
        <w:ind w:left="2880" w:hanging="360"/>
      </w:pPr>
      <w:rPr>
        <w:rFonts w:ascii="Arial" w:hAnsi="Arial" w:hint="default"/>
      </w:rPr>
    </w:lvl>
    <w:lvl w:ilvl="4" w:tplc="298AFD7A" w:tentative="1">
      <w:start w:val="1"/>
      <w:numFmt w:val="bullet"/>
      <w:lvlText w:val="•"/>
      <w:lvlJc w:val="left"/>
      <w:pPr>
        <w:tabs>
          <w:tab w:val="num" w:pos="3600"/>
        </w:tabs>
        <w:ind w:left="3600" w:hanging="360"/>
      </w:pPr>
      <w:rPr>
        <w:rFonts w:ascii="Arial" w:hAnsi="Arial" w:hint="default"/>
      </w:rPr>
    </w:lvl>
    <w:lvl w:ilvl="5" w:tplc="CAD0086C" w:tentative="1">
      <w:start w:val="1"/>
      <w:numFmt w:val="bullet"/>
      <w:lvlText w:val="•"/>
      <w:lvlJc w:val="left"/>
      <w:pPr>
        <w:tabs>
          <w:tab w:val="num" w:pos="4320"/>
        </w:tabs>
        <w:ind w:left="4320" w:hanging="360"/>
      </w:pPr>
      <w:rPr>
        <w:rFonts w:ascii="Arial" w:hAnsi="Arial" w:hint="default"/>
      </w:rPr>
    </w:lvl>
    <w:lvl w:ilvl="6" w:tplc="8CE80BEE" w:tentative="1">
      <w:start w:val="1"/>
      <w:numFmt w:val="bullet"/>
      <w:lvlText w:val="•"/>
      <w:lvlJc w:val="left"/>
      <w:pPr>
        <w:tabs>
          <w:tab w:val="num" w:pos="5040"/>
        </w:tabs>
        <w:ind w:left="5040" w:hanging="360"/>
      </w:pPr>
      <w:rPr>
        <w:rFonts w:ascii="Arial" w:hAnsi="Arial" w:hint="default"/>
      </w:rPr>
    </w:lvl>
    <w:lvl w:ilvl="7" w:tplc="0E506330" w:tentative="1">
      <w:start w:val="1"/>
      <w:numFmt w:val="bullet"/>
      <w:lvlText w:val="•"/>
      <w:lvlJc w:val="left"/>
      <w:pPr>
        <w:tabs>
          <w:tab w:val="num" w:pos="5760"/>
        </w:tabs>
        <w:ind w:left="5760" w:hanging="360"/>
      </w:pPr>
      <w:rPr>
        <w:rFonts w:ascii="Arial" w:hAnsi="Arial" w:hint="default"/>
      </w:rPr>
    </w:lvl>
    <w:lvl w:ilvl="8" w:tplc="AED0E5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760FD3"/>
    <w:multiLevelType w:val="hybridMultilevel"/>
    <w:tmpl w:val="929CD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A792E"/>
    <w:multiLevelType w:val="hybridMultilevel"/>
    <w:tmpl w:val="575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31E69"/>
    <w:multiLevelType w:val="hybridMultilevel"/>
    <w:tmpl w:val="8F10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E5447"/>
    <w:multiLevelType w:val="hybridMultilevel"/>
    <w:tmpl w:val="E45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476E9"/>
    <w:multiLevelType w:val="hybridMultilevel"/>
    <w:tmpl w:val="45C2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3474"/>
    <w:multiLevelType w:val="hybridMultilevel"/>
    <w:tmpl w:val="06CE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C1E3F"/>
    <w:multiLevelType w:val="hybridMultilevel"/>
    <w:tmpl w:val="00729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A41CC3"/>
    <w:multiLevelType w:val="hybridMultilevel"/>
    <w:tmpl w:val="332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E3D71"/>
    <w:multiLevelType w:val="hybridMultilevel"/>
    <w:tmpl w:val="D6D075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704BDD"/>
    <w:multiLevelType w:val="hybridMultilevel"/>
    <w:tmpl w:val="246A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44C8C"/>
    <w:multiLevelType w:val="hybridMultilevel"/>
    <w:tmpl w:val="D780E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77439B"/>
    <w:multiLevelType w:val="hybridMultilevel"/>
    <w:tmpl w:val="C4B25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7E3D09"/>
    <w:multiLevelType w:val="hybridMultilevel"/>
    <w:tmpl w:val="765E6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448E0"/>
    <w:multiLevelType w:val="hybridMultilevel"/>
    <w:tmpl w:val="07EA1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82D2A"/>
    <w:multiLevelType w:val="hybridMultilevel"/>
    <w:tmpl w:val="DB48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30D9F"/>
    <w:multiLevelType w:val="hybridMultilevel"/>
    <w:tmpl w:val="91642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3E7540"/>
    <w:multiLevelType w:val="hybridMultilevel"/>
    <w:tmpl w:val="D00CEDC2"/>
    <w:lvl w:ilvl="0" w:tplc="B22AA3B2">
      <w:start w:val="1"/>
      <w:numFmt w:val="bullet"/>
      <w:lvlText w:val="•"/>
      <w:lvlJc w:val="left"/>
      <w:pPr>
        <w:tabs>
          <w:tab w:val="num" w:pos="720"/>
        </w:tabs>
        <w:ind w:left="720" w:hanging="360"/>
      </w:pPr>
      <w:rPr>
        <w:rFonts w:ascii="Arial" w:hAnsi="Arial" w:hint="default"/>
      </w:rPr>
    </w:lvl>
    <w:lvl w:ilvl="1" w:tplc="9782C808" w:tentative="1">
      <w:start w:val="1"/>
      <w:numFmt w:val="bullet"/>
      <w:lvlText w:val="•"/>
      <w:lvlJc w:val="left"/>
      <w:pPr>
        <w:tabs>
          <w:tab w:val="num" w:pos="1440"/>
        </w:tabs>
        <w:ind w:left="1440" w:hanging="360"/>
      </w:pPr>
      <w:rPr>
        <w:rFonts w:ascii="Arial" w:hAnsi="Arial" w:hint="default"/>
      </w:rPr>
    </w:lvl>
    <w:lvl w:ilvl="2" w:tplc="8416D384" w:tentative="1">
      <w:start w:val="1"/>
      <w:numFmt w:val="bullet"/>
      <w:lvlText w:val="•"/>
      <w:lvlJc w:val="left"/>
      <w:pPr>
        <w:tabs>
          <w:tab w:val="num" w:pos="2160"/>
        </w:tabs>
        <w:ind w:left="2160" w:hanging="360"/>
      </w:pPr>
      <w:rPr>
        <w:rFonts w:ascii="Arial" w:hAnsi="Arial" w:hint="default"/>
      </w:rPr>
    </w:lvl>
    <w:lvl w:ilvl="3" w:tplc="163A145A" w:tentative="1">
      <w:start w:val="1"/>
      <w:numFmt w:val="bullet"/>
      <w:lvlText w:val="•"/>
      <w:lvlJc w:val="left"/>
      <w:pPr>
        <w:tabs>
          <w:tab w:val="num" w:pos="2880"/>
        </w:tabs>
        <w:ind w:left="2880" w:hanging="360"/>
      </w:pPr>
      <w:rPr>
        <w:rFonts w:ascii="Arial" w:hAnsi="Arial" w:hint="default"/>
      </w:rPr>
    </w:lvl>
    <w:lvl w:ilvl="4" w:tplc="16201C4A" w:tentative="1">
      <w:start w:val="1"/>
      <w:numFmt w:val="bullet"/>
      <w:lvlText w:val="•"/>
      <w:lvlJc w:val="left"/>
      <w:pPr>
        <w:tabs>
          <w:tab w:val="num" w:pos="3600"/>
        </w:tabs>
        <w:ind w:left="3600" w:hanging="360"/>
      </w:pPr>
      <w:rPr>
        <w:rFonts w:ascii="Arial" w:hAnsi="Arial" w:hint="default"/>
      </w:rPr>
    </w:lvl>
    <w:lvl w:ilvl="5" w:tplc="CDAE0CA0" w:tentative="1">
      <w:start w:val="1"/>
      <w:numFmt w:val="bullet"/>
      <w:lvlText w:val="•"/>
      <w:lvlJc w:val="left"/>
      <w:pPr>
        <w:tabs>
          <w:tab w:val="num" w:pos="4320"/>
        </w:tabs>
        <w:ind w:left="4320" w:hanging="360"/>
      </w:pPr>
      <w:rPr>
        <w:rFonts w:ascii="Arial" w:hAnsi="Arial" w:hint="default"/>
      </w:rPr>
    </w:lvl>
    <w:lvl w:ilvl="6" w:tplc="B67C48A4" w:tentative="1">
      <w:start w:val="1"/>
      <w:numFmt w:val="bullet"/>
      <w:lvlText w:val="•"/>
      <w:lvlJc w:val="left"/>
      <w:pPr>
        <w:tabs>
          <w:tab w:val="num" w:pos="5040"/>
        </w:tabs>
        <w:ind w:left="5040" w:hanging="360"/>
      </w:pPr>
      <w:rPr>
        <w:rFonts w:ascii="Arial" w:hAnsi="Arial" w:hint="default"/>
      </w:rPr>
    </w:lvl>
    <w:lvl w:ilvl="7" w:tplc="12BE8802" w:tentative="1">
      <w:start w:val="1"/>
      <w:numFmt w:val="bullet"/>
      <w:lvlText w:val="•"/>
      <w:lvlJc w:val="left"/>
      <w:pPr>
        <w:tabs>
          <w:tab w:val="num" w:pos="5760"/>
        </w:tabs>
        <w:ind w:left="5760" w:hanging="360"/>
      </w:pPr>
      <w:rPr>
        <w:rFonts w:ascii="Arial" w:hAnsi="Arial" w:hint="default"/>
      </w:rPr>
    </w:lvl>
    <w:lvl w:ilvl="8" w:tplc="3B76AE0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7D5B0A"/>
    <w:multiLevelType w:val="hybridMultilevel"/>
    <w:tmpl w:val="940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D60CA"/>
    <w:multiLevelType w:val="hybridMultilevel"/>
    <w:tmpl w:val="E0B87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0243F"/>
    <w:multiLevelType w:val="hybridMultilevel"/>
    <w:tmpl w:val="9DC4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362F8"/>
    <w:multiLevelType w:val="hybridMultilevel"/>
    <w:tmpl w:val="14123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7B6311"/>
    <w:multiLevelType w:val="hybridMultilevel"/>
    <w:tmpl w:val="94702C74"/>
    <w:lvl w:ilvl="0" w:tplc="E6D4EC54">
      <w:start w:val="1"/>
      <w:numFmt w:val="bullet"/>
      <w:lvlText w:val="•"/>
      <w:lvlJc w:val="left"/>
      <w:pPr>
        <w:tabs>
          <w:tab w:val="num" w:pos="720"/>
        </w:tabs>
        <w:ind w:left="720" w:hanging="360"/>
      </w:pPr>
      <w:rPr>
        <w:rFonts w:ascii="Arial" w:hAnsi="Arial" w:hint="default"/>
      </w:rPr>
    </w:lvl>
    <w:lvl w:ilvl="1" w:tplc="0602EA8E" w:tentative="1">
      <w:start w:val="1"/>
      <w:numFmt w:val="bullet"/>
      <w:lvlText w:val="•"/>
      <w:lvlJc w:val="left"/>
      <w:pPr>
        <w:tabs>
          <w:tab w:val="num" w:pos="1440"/>
        </w:tabs>
        <w:ind w:left="1440" w:hanging="360"/>
      </w:pPr>
      <w:rPr>
        <w:rFonts w:ascii="Arial" w:hAnsi="Arial" w:hint="default"/>
      </w:rPr>
    </w:lvl>
    <w:lvl w:ilvl="2" w:tplc="F9A26446" w:tentative="1">
      <w:start w:val="1"/>
      <w:numFmt w:val="bullet"/>
      <w:lvlText w:val="•"/>
      <w:lvlJc w:val="left"/>
      <w:pPr>
        <w:tabs>
          <w:tab w:val="num" w:pos="2160"/>
        </w:tabs>
        <w:ind w:left="2160" w:hanging="360"/>
      </w:pPr>
      <w:rPr>
        <w:rFonts w:ascii="Arial" w:hAnsi="Arial" w:hint="default"/>
      </w:rPr>
    </w:lvl>
    <w:lvl w:ilvl="3" w:tplc="3CE0ED82" w:tentative="1">
      <w:start w:val="1"/>
      <w:numFmt w:val="bullet"/>
      <w:lvlText w:val="•"/>
      <w:lvlJc w:val="left"/>
      <w:pPr>
        <w:tabs>
          <w:tab w:val="num" w:pos="2880"/>
        </w:tabs>
        <w:ind w:left="2880" w:hanging="360"/>
      </w:pPr>
      <w:rPr>
        <w:rFonts w:ascii="Arial" w:hAnsi="Arial" w:hint="default"/>
      </w:rPr>
    </w:lvl>
    <w:lvl w:ilvl="4" w:tplc="2992209A" w:tentative="1">
      <w:start w:val="1"/>
      <w:numFmt w:val="bullet"/>
      <w:lvlText w:val="•"/>
      <w:lvlJc w:val="left"/>
      <w:pPr>
        <w:tabs>
          <w:tab w:val="num" w:pos="3600"/>
        </w:tabs>
        <w:ind w:left="3600" w:hanging="360"/>
      </w:pPr>
      <w:rPr>
        <w:rFonts w:ascii="Arial" w:hAnsi="Arial" w:hint="default"/>
      </w:rPr>
    </w:lvl>
    <w:lvl w:ilvl="5" w:tplc="1E864110" w:tentative="1">
      <w:start w:val="1"/>
      <w:numFmt w:val="bullet"/>
      <w:lvlText w:val="•"/>
      <w:lvlJc w:val="left"/>
      <w:pPr>
        <w:tabs>
          <w:tab w:val="num" w:pos="4320"/>
        </w:tabs>
        <w:ind w:left="4320" w:hanging="360"/>
      </w:pPr>
      <w:rPr>
        <w:rFonts w:ascii="Arial" w:hAnsi="Arial" w:hint="default"/>
      </w:rPr>
    </w:lvl>
    <w:lvl w:ilvl="6" w:tplc="549C5580" w:tentative="1">
      <w:start w:val="1"/>
      <w:numFmt w:val="bullet"/>
      <w:lvlText w:val="•"/>
      <w:lvlJc w:val="left"/>
      <w:pPr>
        <w:tabs>
          <w:tab w:val="num" w:pos="5040"/>
        </w:tabs>
        <w:ind w:left="5040" w:hanging="360"/>
      </w:pPr>
      <w:rPr>
        <w:rFonts w:ascii="Arial" w:hAnsi="Arial" w:hint="default"/>
      </w:rPr>
    </w:lvl>
    <w:lvl w:ilvl="7" w:tplc="9356D174" w:tentative="1">
      <w:start w:val="1"/>
      <w:numFmt w:val="bullet"/>
      <w:lvlText w:val="•"/>
      <w:lvlJc w:val="left"/>
      <w:pPr>
        <w:tabs>
          <w:tab w:val="num" w:pos="5760"/>
        </w:tabs>
        <w:ind w:left="5760" w:hanging="360"/>
      </w:pPr>
      <w:rPr>
        <w:rFonts w:ascii="Arial" w:hAnsi="Arial" w:hint="default"/>
      </w:rPr>
    </w:lvl>
    <w:lvl w:ilvl="8" w:tplc="E5E2B10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611B97"/>
    <w:multiLevelType w:val="hybridMultilevel"/>
    <w:tmpl w:val="2754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733DE"/>
    <w:multiLevelType w:val="hybridMultilevel"/>
    <w:tmpl w:val="25F48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72440D"/>
    <w:multiLevelType w:val="hybridMultilevel"/>
    <w:tmpl w:val="2BD8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8"/>
  </w:num>
  <w:num w:numId="4">
    <w:abstractNumId w:val="34"/>
  </w:num>
  <w:num w:numId="5">
    <w:abstractNumId w:val="9"/>
  </w:num>
  <w:num w:numId="6">
    <w:abstractNumId w:val="28"/>
  </w:num>
  <w:num w:numId="7">
    <w:abstractNumId w:val="11"/>
  </w:num>
  <w:num w:numId="8">
    <w:abstractNumId w:val="5"/>
  </w:num>
  <w:num w:numId="9">
    <w:abstractNumId w:val="10"/>
  </w:num>
  <w:num w:numId="10">
    <w:abstractNumId w:val="33"/>
  </w:num>
  <w:num w:numId="11">
    <w:abstractNumId w:val="27"/>
  </w:num>
  <w:num w:numId="12">
    <w:abstractNumId w:val="35"/>
  </w:num>
  <w:num w:numId="13">
    <w:abstractNumId w:val="22"/>
  </w:num>
  <w:num w:numId="14">
    <w:abstractNumId w:val="23"/>
  </w:num>
  <w:num w:numId="15">
    <w:abstractNumId w:val="17"/>
  </w:num>
  <w:num w:numId="16">
    <w:abstractNumId w:val="32"/>
  </w:num>
  <w:num w:numId="17">
    <w:abstractNumId w:val="19"/>
  </w:num>
  <w:num w:numId="18">
    <w:abstractNumId w:val="30"/>
  </w:num>
  <w:num w:numId="19">
    <w:abstractNumId w:val="25"/>
  </w:num>
  <w:num w:numId="20">
    <w:abstractNumId w:val="21"/>
  </w:num>
  <w:num w:numId="21">
    <w:abstractNumId w:val="26"/>
  </w:num>
  <w:num w:numId="22">
    <w:abstractNumId w:val="29"/>
  </w:num>
  <w:num w:numId="23">
    <w:abstractNumId w:val="7"/>
  </w:num>
  <w:num w:numId="24">
    <w:abstractNumId w:val="3"/>
  </w:num>
  <w:num w:numId="25">
    <w:abstractNumId w:val="2"/>
  </w:num>
  <w:num w:numId="26">
    <w:abstractNumId w:val="13"/>
  </w:num>
  <w:num w:numId="27">
    <w:abstractNumId w:val="0"/>
  </w:num>
  <w:num w:numId="28">
    <w:abstractNumId w:val="24"/>
  </w:num>
  <w:num w:numId="29">
    <w:abstractNumId w:val="16"/>
  </w:num>
  <w:num w:numId="30">
    <w:abstractNumId w:val="1"/>
  </w:num>
  <w:num w:numId="31">
    <w:abstractNumId w:val="18"/>
  </w:num>
  <w:num w:numId="32">
    <w:abstractNumId w:val="4"/>
  </w:num>
  <w:num w:numId="33">
    <w:abstractNumId w:val="15"/>
  </w:num>
  <w:num w:numId="34">
    <w:abstractNumId w:val="14"/>
  </w:num>
  <w:num w:numId="35">
    <w:abstractNumId w:val="36"/>
  </w:num>
  <w:num w:numId="36">
    <w:abstractNumId w:val="3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04"/>
    <w:rsid w:val="0000063E"/>
    <w:rsid w:val="00010199"/>
    <w:rsid w:val="000109DE"/>
    <w:rsid w:val="0002016A"/>
    <w:rsid w:val="0004148D"/>
    <w:rsid w:val="00065058"/>
    <w:rsid w:val="00086B20"/>
    <w:rsid w:val="00092A0A"/>
    <w:rsid w:val="000D7A58"/>
    <w:rsid w:val="000F5E45"/>
    <w:rsid w:val="00106ED1"/>
    <w:rsid w:val="00150E6C"/>
    <w:rsid w:val="00176DC3"/>
    <w:rsid w:val="0018355A"/>
    <w:rsid w:val="001964FB"/>
    <w:rsid w:val="001A1498"/>
    <w:rsid w:val="001E665F"/>
    <w:rsid w:val="00204499"/>
    <w:rsid w:val="00216345"/>
    <w:rsid w:val="00233311"/>
    <w:rsid w:val="0023447B"/>
    <w:rsid w:val="00245007"/>
    <w:rsid w:val="0025283E"/>
    <w:rsid w:val="00264305"/>
    <w:rsid w:val="002A3163"/>
    <w:rsid w:val="002E06F0"/>
    <w:rsid w:val="002E0A3A"/>
    <w:rsid w:val="003141F6"/>
    <w:rsid w:val="0034582B"/>
    <w:rsid w:val="003536BA"/>
    <w:rsid w:val="00370F4E"/>
    <w:rsid w:val="00387E0B"/>
    <w:rsid w:val="00390EC1"/>
    <w:rsid w:val="00394714"/>
    <w:rsid w:val="003D202F"/>
    <w:rsid w:val="0044132F"/>
    <w:rsid w:val="004523E4"/>
    <w:rsid w:val="00453AA3"/>
    <w:rsid w:val="00472B6D"/>
    <w:rsid w:val="004927DC"/>
    <w:rsid w:val="004949AE"/>
    <w:rsid w:val="004E0C5D"/>
    <w:rsid w:val="004F21CB"/>
    <w:rsid w:val="00510EF7"/>
    <w:rsid w:val="00517A2E"/>
    <w:rsid w:val="00526722"/>
    <w:rsid w:val="00542AEA"/>
    <w:rsid w:val="005510F0"/>
    <w:rsid w:val="00551565"/>
    <w:rsid w:val="005800B3"/>
    <w:rsid w:val="0059003F"/>
    <w:rsid w:val="005C15AD"/>
    <w:rsid w:val="005E351D"/>
    <w:rsid w:val="005F19D0"/>
    <w:rsid w:val="006111FF"/>
    <w:rsid w:val="006358D1"/>
    <w:rsid w:val="00650D77"/>
    <w:rsid w:val="00660C6C"/>
    <w:rsid w:val="00664347"/>
    <w:rsid w:val="00664FAC"/>
    <w:rsid w:val="00695CCE"/>
    <w:rsid w:val="006C57FE"/>
    <w:rsid w:val="006C7221"/>
    <w:rsid w:val="006D4E91"/>
    <w:rsid w:val="006F0FD0"/>
    <w:rsid w:val="006F5D43"/>
    <w:rsid w:val="007212A3"/>
    <w:rsid w:val="00777679"/>
    <w:rsid w:val="00784005"/>
    <w:rsid w:val="0079531E"/>
    <w:rsid w:val="007A4221"/>
    <w:rsid w:val="007B6356"/>
    <w:rsid w:val="007C078B"/>
    <w:rsid w:val="007D4590"/>
    <w:rsid w:val="007D719A"/>
    <w:rsid w:val="007E0F1F"/>
    <w:rsid w:val="007E767B"/>
    <w:rsid w:val="008305F7"/>
    <w:rsid w:val="00842CD2"/>
    <w:rsid w:val="00855008"/>
    <w:rsid w:val="00870C78"/>
    <w:rsid w:val="0088066F"/>
    <w:rsid w:val="00891AE0"/>
    <w:rsid w:val="008B06A7"/>
    <w:rsid w:val="008B6223"/>
    <w:rsid w:val="00963471"/>
    <w:rsid w:val="009C3199"/>
    <w:rsid w:val="009C6A7B"/>
    <w:rsid w:val="009C742B"/>
    <w:rsid w:val="009E1826"/>
    <w:rsid w:val="009E6AF7"/>
    <w:rsid w:val="00A02D0D"/>
    <w:rsid w:val="00A30E51"/>
    <w:rsid w:val="00A31DB3"/>
    <w:rsid w:val="00A36BC8"/>
    <w:rsid w:val="00A666C7"/>
    <w:rsid w:val="00A6760D"/>
    <w:rsid w:val="00A833E4"/>
    <w:rsid w:val="00A93380"/>
    <w:rsid w:val="00AA1D4A"/>
    <w:rsid w:val="00AC634E"/>
    <w:rsid w:val="00AE33DB"/>
    <w:rsid w:val="00AF0D43"/>
    <w:rsid w:val="00B10939"/>
    <w:rsid w:val="00B32200"/>
    <w:rsid w:val="00B41ACC"/>
    <w:rsid w:val="00B706E0"/>
    <w:rsid w:val="00B7758D"/>
    <w:rsid w:val="00BB18B9"/>
    <w:rsid w:val="00BB4B49"/>
    <w:rsid w:val="00C06086"/>
    <w:rsid w:val="00C072B4"/>
    <w:rsid w:val="00C32A06"/>
    <w:rsid w:val="00C43804"/>
    <w:rsid w:val="00C60FFC"/>
    <w:rsid w:val="00C65FEF"/>
    <w:rsid w:val="00C767DE"/>
    <w:rsid w:val="00C819BC"/>
    <w:rsid w:val="00C94D7B"/>
    <w:rsid w:val="00C95B04"/>
    <w:rsid w:val="00CA285A"/>
    <w:rsid w:val="00CB182F"/>
    <w:rsid w:val="00CF0813"/>
    <w:rsid w:val="00CF35EE"/>
    <w:rsid w:val="00CF61D1"/>
    <w:rsid w:val="00D04B7D"/>
    <w:rsid w:val="00D14FE8"/>
    <w:rsid w:val="00D16ED4"/>
    <w:rsid w:val="00D20671"/>
    <w:rsid w:val="00D4132B"/>
    <w:rsid w:val="00D4674D"/>
    <w:rsid w:val="00D639E3"/>
    <w:rsid w:val="00D834FC"/>
    <w:rsid w:val="00D843A3"/>
    <w:rsid w:val="00D85FC4"/>
    <w:rsid w:val="00DA0A03"/>
    <w:rsid w:val="00DC7299"/>
    <w:rsid w:val="00DD66BD"/>
    <w:rsid w:val="00DD6F3C"/>
    <w:rsid w:val="00DF255F"/>
    <w:rsid w:val="00E44ADA"/>
    <w:rsid w:val="00E545EA"/>
    <w:rsid w:val="00E56563"/>
    <w:rsid w:val="00E5709C"/>
    <w:rsid w:val="00E84EA1"/>
    <w:rsid w:val="00E9204F"/>
    <w:rsid w:val="00ED091B"/>
    <w:rsid w:val="00ED4BC9"/>
    <w:rsid w:val="00EE0578"/>
    <w:rsid w:val="00F050CB"/>
    <w:rsid w:val="00F10D46"/>
    <w:rsid w:val="00F22351"/>
    <w:rsid w:val="00F22F58"/>
    <w:rsid w:val="00F277EC"/>
    <w:rsid w:val="00F279D5"/>
    <w:rsid w:val="00F4130E"/>
    <w:rsid w:val="00F6367B"/>
    <w:rsid w:val="00F73D3C"/>
    <w:rsid w:val="00F762BD"/>
    <w:rsid w:val="00F92735"/>
    <w:rsid w:val="00F962B6"/>
    <w:rsid w:val="00FC6172"/>
    <w:rsid w:val="00FC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AD7E8"/>
  <w15:chartTrackingRefBased/>
  <w15:docId w15:val="{170A553C-0BB5-4695-B784-BCA3B457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804"/>
    <w:pPr>
      <w:tabs>
        <w:tab w:val="center" w:pos="4680"/>
        <w:tab w:val="right" w:pos="9360"/>
      </w:tabs>
    </w:pPr>
  </w:style>
  <w:style w:type="character" w:customStyle="1" w:styleId="HeaderChar">
    <w:name w:val="Header Char"/>
    <w:basedOn w:val="DefaultParagraphFont"/>
    <w:link w:val="Header"/>
    <w:uiPriority w:val="99"/>
    <w:rsid w:val="00C43804"/>
  </w:style>
  <w:style w:type="paragraph" w:styleId="Footer">
    <w:name w:val="footer"/>
    <w:basedOn w:val="Normal"/>
    <w:link w:val="FooterChar"/>
    <w:uiPriority w:val="99"/>
    <w:unhideWhenUsed/>
    <w:rsid w:val="00C43804"/>
    <w:pPr>
      <w:tabs>
        <w:tab w:val="center" w:pos="4680"/>
        <w:tab w:val="right" w:pos="9360"/>
      </w:tabs>
    </w:pPr>
  </w:style>
  <w:style w:type="character" w:customStyle="1" w:styleId="FooterChar">
    <w:name w:val="Footer Char"/>
    <w:basedOn w:val="DefaultParagraphFont"/>
    <w:link w:val="Footer"/>
    <w:uiPriority w:val="99"/>
    <w:rsid w:val="00C43804"/>
  </w:style>
  <w:style w:type="table" w:styleId="TableGrid">
    <w:name w:val="Table Grid"/>
    <w:basedOn w:val="TableNormal"/>
    <w:uiPriority w:val="39"/>
    <w:rsid w:val="00C4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804"/>
    <w:pPr>
      <w:ind w:left="720"/>
      <w:contextualSpacing/>
    </w:pPr>
  </w:style>
  <w:style w:type="character" w:styleId="Hyperlink">
    <w:name w:val="Hyperlink"/>
    <w:basedOn w:val="DefaultParagraphFont"/>
    <w:uiPriority w:val="99"/>
    <w:unhideWhenUsed/>
    <w:rsid w:val="00C43804"/>
    <w:rPr>
      <w:color w:val="0563C1" w:themeColor="hyperlink"/>
      <w:u w:val="single"/>
    </w:rPr>
  </w:style>
  <w:style w:type="paragraph" w:styleId="NormalWeb">
    <w:name w:val="Normal (Web)"/>
    <w:basedOn w:val="Normal"/>
    <w:uiPriority w:val="99"/>
    <w:semiHidden/>
    <w:unhideWhenUsed/>
    <w:rsid w:val="009E1826"/>
    <w:pPr>
      <w:spacing w:before="100" w:beforeAutospacing="1" w:after="100" w:afterAutospacing="1"/>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6358D1"/>
    <w:rPr>
      <w:sz w:val="16"/>
      <w:szCs w:val="16"/>
    </w:rPr>
  </w:style>
  <w:style w:type="paragraph" w:styleId="CommentText">
    <w:name w:val="annotation text"/>
    <w:basedOn w:val="Normal"/>
    <w:link w:val="CommentTextChar"/>
    <w:uiPriority w:val="99"/>
    <w:semiHidden/>
    <w:unhideWhenUsed/>
    <w:rsid w:val="006358D1"/>
    <w:rPr>
      <w:sz w:val="20"/>
      <w:szCs w:val="20"/>
    </w:rPr>
  </w:style>
  <w:style w:type="character" w:customStyle="1" w:styleId="CommentTextChar">
    <w:name w:val="Comment Text Char"/>
    <w:basedOn w:val="DefaultParagraphFont"/>
    <w:link w:val="CommentText"/>
    <w:uiPriority w:val="99"/>
    <w:semiHidden/>
    <w:rsid w:val="006358D1"/>
    <w:rPr>
      <w:sz w:val="20"/>
      <w:szCs w:val="20"/>
    </w:rPr>
  </w:style>
  <w:style w:type="paragraph" w:styleId="CommentSubject">
    <w:name w:val="annotation subject"/>
    <w:basedOn w:val="CommentText"/>
    <w:next w:val="CommentText"/>
    <w:link w:val="CommentSubjectChar"/>
    <w:uiPriority w:val="99"/>
    <w:semiHidden/>
    <w:unhideWhenUsed/>
    <w:rsid w:val="006358D1"/>
    <w:rPr>
      <w:b/>
      <w:bCs/>
    </w:rPr>
  </w:style>
  <w:style w:type="character" w:customStyle="1" w:styleId="CommentSubjectChar">
    <w:name w:val="Comment Subject Char"/>
    <w:basedOn w:val="CommentTextChar"/>
    <w:link w:val="CommentSubject"/>
    <w:uiPriority w:val="99"/>
    <w:semiHidden/>
    <w:rsid w:val="006358D1"/>
    <w:rPr>
      <w:b/>
      <w:bCs/>
      <w:sz w:val="20"/>
      <w:szCs w:val="20"/>
    </w:rPr>
  </w:style>
  <w:style w:type="character" w:customStyle="1" w:styleId="hgkelc">
    <w:name w:val="hgkelc"/>
    <w:basedOn w:val="DefaultParagraphFont"/>
    <w:rsid w:val="00E84EA1"/>
  </w:style>
  <w:style w:type="paragraph" w:customStyle="1" w:styleId="Default">
    <w:name w:val="Default"/>
    <w:rsid w:val="0018355A"/>
    <w:pPr>
      <w:autoSpaceDE w:val="0"/>
      <w:autoSpaceDN w:val="0"/>
      <w:adjustRightInd w:val="0"/>
    </w:pPr>
    <w:rPr>
      <w:rFonts w:ascii="Calibri" w:hAnsi="Calibri" w:cs="Calibri"/>
      <w:color w:val="000000"/>
      <w:sz w:val="24"/>
      <w:szCs w:val="24"/>
    </w:rPr>
  </w:style>
  <w:style w:type="character" w:customStyle="1" w:styleId="uv3um">
    <w:name w:val="uv3um"/>
    <w:basedOn w:val="DefaultParagraphFont"/>
    <w:rsid w:val="00B32200"/>
  </w:style>
  <w:style w:type="character" w:styleId="UnresolvedMention">
    <w:name w:val="Unresolved Mention"/>
    <w:basedOn w:val="DefaultParagraphFont"/>
    <w:uiPriority w:val="99"/>
    <w:semiHidden/>
    <w:unhideWhenUsed/>
    <w:rsid w:val="0049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0338">
      <w:bodyDiv w:val="1"/>
      <w:marLeft w:val="0"/>
      <w:marRight w:val="0"/>
      <w:marTop w:val="0"/>
      <w:marBottom w:val="0"/>
      <w:divBdr>
        <w:top w:val="none" w:sz="0" w:space="0" w:color="auto"/>
        <w:left w:val="none" w:sz="0" w:space="0" w:color="auto"/>
        <w:bottom w:val="none" w:sz="0" w:space="0" w:color="auto"/>
        <w:right w:val="none" w:sz="0" w:space="0" w:color="auto"/>
      </w:divBdr>
    </w:div>
    <w:div w:id="103697197">
      <w:bodyDiv w:val="1"/>
      <w:marLeft w:val="0"/>
      <w:marRight w:val="0"/>
      <w:marTop w:val="0"/>
      <w:marBottom w:val="0"/>
      <w:divBdr>
        <w:top w:val="none" w:sz="0" w:space="0" w:color="auto"/>
        <w:left w:val="none" w:sz="0" w:space="0" w:color="auto"/>
        <w:bottom w:val="none" w:sz="0" w:space="0" w:color="auto"/>
        <w:right w:val="none" w:sz="0" w:space="0" w:color="auto"/>
      </w:divBdr>
    </w:div>
    <w:div w:id="261842408">
      <w:bodyDiv w:val="1"/>
      <w:marLeft w:val="0"/>
      <w:marRight w:val="0"/>
      <w:marTop w:val="0"/>
      <w:marBottom w:val="0"/>
      <w:divBdr>
        <w:top w:val="none" w:sz="0" w:space="0" w:color="auto"/>
        <w:left w:val="none" w:sz="0" w:space="0" w:color="auto"/>
        <w:bottom w:val="none" w:sz="0" w:space="0" w:color="auto"/>
        <w:right w:val="none" w:sz="0" w:space="0" w:color="auto"/>
      </w:divBdr>
      <w:divsChild>
        <w:div w:id="495268434">
          <w:marLeft w:val="1267"/>
          <w:marRight w:val="0"/>
          <w:marTop w:val="0"/>
          <w:marBottom w:val="240"/>
          <w:divBdr>
            <w:top w:val="none" w:sz="0" w:space="0" w:color="auto"/>
            <w:left w:val="none" w:sz="0" w:space="0" w:color="auto"/>
            <w:bottom w:val="none" w:sz="0" w:space="0" w:color="auto"/>
            <w:right w:val="none" w:sz="0" w:space="0" w:color="auto"/>
          </w:divBdr>
        </w:div>
        <w:div w:id="528252745">
          <w:marLeft w:val="1267"/>
          <w:marRight w:val="0"/>
          <w:marTop w:val="0"/>
          <w:marBottom w:val="240"/>
          <w:divBdr>
            <w:top w:val="none" w:sz="0" w:space="0" w:color="auto"/>
            <w:left w:val="none" w:sz="0" w:space="0" w:color="auto"/>
            <w:bottom w:val="none" w:sz="0" w:space="0" w:color="auto"/>
            <w:right w:val="none" w:sz="0" w:space="0" w:color="auto"/>
          </w:divBdr>
        </w:div>
        <w:div w:id="345256227">
          <w:marLeft w:val="1267"/>
          <w:marRight w:val="0"/>
          <w:marTop w:val="0"/>
          <w:marBottom w:val="240"/>
          <w:divBdr>
            <w:top w:val="none" w:sz="0" w:space="0" w:color="auto"/>
            <w:left w:val="none" w:sz="0" w:space="0" w:color="auto"/>
            <w:bottom w:val="none" w:sz="0" w:space="0" w:color="auto"/>
            <w:right w:val="none" w:sz="0" w:space="0" w:color="auto"/>
          </w:divBdr>
        </w:div>
      </w:divsChild>
    </w:div>
    <w:div w:id="422453871">
      <w:bodyDiv w:val="1"/>
      <w:marLeft w:val="0"/>
      <w:marRight w:val="0"/>
      <w:marTop w:val="0"/>
      <w:marBottom w:val="0"/>
      <w:divBdr>
        <w:top w:val="none" w:sz="0" w:space="0" w:color="auto"/>
        <w:left w:val="none" w:sz="0" w:space="0" w:color="auto"/>
        <w:bottom w:val="none" w:sz="0" w:space="0" w:color="auto"/>
        <w:right w:val="none" w:sz="0" w:space="0" w:color="auto"/>
      </w:divBdr>
    </w:div>
    <w:div w:id="703099315">
      <w:bodyDiv w:val="1"/>
      <w:marLeft w:val="0"/>
      <w:marRight w:val="0"/>
      <w:marTop w:val="0"/>
      <w:marBottom w:val="0"/>
      <w:divBdr>
        <w:top w:val="none" w:sz="0" w:space="0" w:color="auto"/>
        <w:left w:val="none" w:sz="0" w:space="0" w:color="auto"/>
        <w:bottom w:val="none" w:sz="0" w:space="0" w:color="auto"/>
        <w:right w:val="none" w:sz="0" w:space="0" w:color="auto"/>
      </w:divBdr>
    </w:div>
    <w:div w:id="964699862">
      <w:bodyDiv w:val="1"/>
      <w:marLeft w:val="0"/>
      <w:marRight w:val="0"/>
      <w:marTop w:val="0"/>
      <w:marBottom w:val="0"/>
      <w:divBdr>
        <w:top w:val="none" w:sz="0" w:space="0" w:color="auto"/>
        <w:left w:val="none" w:sz="0" w:space="0" w:color="auto"/>
        <w:bottom w:val="none" w:sz="0" w:space="0" w:color="auto"/>
        <w:right w:val="none" w:sz="0" w:space="0" w:color="auto"/>
      </w:divBdr>
    </w:div>
    <w:div w:id="1034888241">
      <w:bodyDiv w:val="1"/>
      <w:marLeft w:val="0"/>
      <w:marRight w:val="0"/>
      <w:marTop w:val="0"/>
      <w:marBottom w:val="0"/>
      <w:divBdr>
        <w:top w:val="none" w:sz="0" w:space="0" w:color="auto"/>
        <w:left w:val="none" w:sz="0" w:space="0" w:color="auto"/>
        <w:bottom w:val="none" w:sz="0" w:space="0" w:color="auto"/>
        <w:right w:val="none" w:sz="0" w:space="0" w:color="auto"/>
      </w:divBdr>
    </w:div>
    <w:div w:id="1159231751">
      <w:bodyDiv w:val="1"/>
      <w:marLeft w:val="0"/>
      <w:marRight w:val="0"/>
      <w:marTop w:val="0"/>
      <w:marBottom w:val="0"/>
      <w:divBdr>
        <w:top w:val="none" w:sz="0" w:space="0" w:color="auto"/>
        <w:left w:val="none" w:sz="0" w:space="0" w:color="auto"/>
        <w:bottom w:val="none" w:sz="0" w:space="0" w:color="auto"/>
        <w:right w:val="none" w:sz="0" w:space="0" w:color="auto"/>
      </w:divBdr>
    </w:div>
    <w:div w:id="1235776653">
      <w:bodyDiv w:val="1"/>
      <w:marLeft w:val="0"/>
      <w:marRight w:val="0"/>
      <w:marTop w:val="0"/>
      <w:marBottom w:val="0"/>
      <w:divBdr>
        <w:top w:val="none" w:sz="0" w:space="0" w:color="auto"/>
        <w:left w:val="none" w:sz="0" w:space="0" w:color="auto"/>
        <w:bottom w:val="none" w:sz="0" w:space="0" w:color="auto"/>
        <w:right w:val="none" w:sz="0" w:space="0" w:color="auto"/>
      </w:divBdr>
    </w:div>
    <w:div w:id="1270816844">
      <w:bodyDiv w:val="1"/>
      <w:marLeft w:val="0"/>
      <w:marRight w:val="0"/>
      <w:marTop w:val="0"/>
      <w:marBottom w:val="0"/>
      <w:divBdr>
        <w:top w:val="none" w:sz="0" w:space="0" w:color="auto"/>
        <w:left w:val="none" w:sz="0" w:space="0" w:color="auto"/>
        <w:bottom w:val="none" w:sz="0" w:space="0" w:color="auto"/>
        <w:right w:val="none" w:sz="0" w:space="0" w:color="auto"/>
      </w:divBdr>
    </w:div>
    <w:div w:id="1291977911">
      <w:bodyDiv w:val="1"/>
      <w:marLeft w:val="0"/>
      <w:marRight w:val="0"/>
      <w:marTop w:val="0"/>
      <w:marBottom w:val="0"/>
      <w:divBdr>
        <w:top w:val="none" w:sz="0" w:space="0" w:color="auto"/>
        <w:left w:val="none" w:sz="0" w:space="0" w:color="auto"/>
        <w:bottom w:val="none" w:sz="0" w:space="0" w:color="auto"/>
        <w:right w:val="none" w:sz="0" w:space="0" w:color="auto"/>
      </w:divBdr>
    </w:div>
    <w:div w:id="1301687194">
      <w:bodyDiv w:val="1"/>
      <w:marLeft w:val="0"/>
      <w:marRight w:val="0"/>
      <w:marTop w:val="0"/>
      <w:marBottom w:val="0"/>
      <w:divBdr>
        <w:top w:val="none" w:sz="0" w:space="0" w:color="auto"/>
        <w:left w:val="none" w:sz="0" w:space="0" w:color="auto"/>
        <w:bottom w:val="none" w:sz="0" w:space="0" w:color="auto"/>
        <w:right w:val="none" w:sz="0" w:space="0" w:color="auto"/>
      </w:divBdr>
    </w:div>
    <w:div w:id="1337734287">
      <w:bodyDiv w:val="1"/>
      <w:marLeft w:val="0"/>
      <w:marRight w:val="0"/>
      <w:marTop w:val="0"/>
      <w:marBottom w:val="0"/>
      <w:divBdr>
        <w:top w:val="none" w:sz="0" w:space="0" w:color="auto"/>
        <w:left w:val="none" w:sz="0" w:space="0" w:color="auto"/>
        <w:bottom w:val="none" w:sz="0" w:space="0" w:color="auto"/>
        <w:right w:val="none" w:sz="0" w:space="0" w:color="auto"/>
      </w:divBdr>
    </w:div>
    <w:div w:id="1399550135">
      <w:bodyDiv w:val="1"/>
      <w:marLeft w:val="0"/>
      <w:marRight w:val="0"/>
      <w:marTop w:val="0"/>
      <w:marBottom w:val="0"/>
      <w:divBdr>
        <w:top w:val="none" w:sz="0" w:space="0" w:color="auto"/>
        <w:left w:val="none" w:sz="0" w:space="0" w:color="auto"/>
        <w:bottom w:val="none" w:sz="0" w:space="0" w:color="auto"/>
        <w:right w:val="none" w:sz="0" w:space="0" w:color="auto"/>
      </w:divBdr>
      <w:divsChild>
        <w:div w:id="1555191264">
          <w:marLeft w:val="547"/>
          <w:marRight w:val="0"/>
          <w:marTop w:val="0"/>
          <w:marBottom w:val="240"/>
          <w:divBdr>
            <w:top w:val="none" w:sz="0" w:space="0" w:color="auto"/>
            <w:left w:val="none" w:sz="0" w:space="0" w:color="auto"/>
            <w:bottom w:val="none" w:sz="0" w:space="0" w:color="auto"/>
            <w:right w:val="none" w:sz="0" w:space="0" w:color="auto"/>
          </w:divBdr>
        </w:div>
        <w:div w:id="220675115">
          <w:marLeft w:val="547"/>
          <w:marRight w:val="0"/>
          <w:marTop w:val="0"/>
          <w:marBottom w:val="240"/>
          <w:divBdr>
            <w:top w:val="none" w:sz="0" w:space="0" w:color="auto"/>
            <w:left w:val="none" w:sz="0" w:space="0" w:color="auto"/>
            <w:bottom w:val="none" w:sz="0" w:space="0" w:color="auto"/>
            <w:right w:val="none" w:sz="0" w:space="0" w:color="auto"/>
          </w:divBdr>
        </w:div>
      </w:divsChild>
    </w:div>
    <w:div w:id="1538664183">
      <w:bodyDiv w:val="1"/>
      <w:marLeft w:val="0"/>
      <w:marRight w:val="0"/>
      <w:marTop w:val="0"/>
      <w:marBottom w:val="0"/>
      <w:divBdr>
        <w:top w:val="none" w:sz="0" w:space="0" w:color="auto"/>
        <w:left w:val="none" w:sz="0" w:space="0" w:color="auto"/>
        <w:bottom w:val="none" w:sz="0" w:space="0" w:color="auto"/>
        <w:right w:val="none" w:sz="0" w:space="0" w:color="auto"/>
      </w:divBdr>
    </w:div>
    <w:div w:id="1665695735">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sChild>
        <w:div w:id="1414545189">
          <w:marLeft w:val="547"/>
          <w:marRight w:val="0"/>
          <w:marTop w:val="0"/>
          <w:marBottom w:val="240"/>
          <w:divBdr>
            <w:top w:val="none" w:sz="0" w:space="0" w:color="auto"/>
            <w:left w:val="none" w:sz="0" w:space="0" w:color="auto"/>
            <w:bottom w:val="none" w:sz="0" w:space="0" w:color="auto"/>
            <w:right w:val="none" w:sz="0" w:space="0" w:color="auto"/>
          </w:divBdr>
        </w:div>
        <w:div w:id="501895544">
          <w:marLeft w:val="547"/>
          <w:marRight w:val="0"/>
          <w:marTop w:val="0"/>
          <w:marBottom w:val="240"/>
          <w:divBdr>
            <w:top w:val="none" w:sz="0" w:space="0" w:color="auto"/>
            <w:left w:val="none" w:sz="0" w:space="0" w:color="auto"/>
            <w:bottom w:val="none" w:sz="0" w:space="0" w:color="auto"/>
            <w:right w:val="none" w:sz="0" w:space="0" w:color="auto"/>
          </w:divBdr>
        </w:div>
        <w:div w:id="1716613543">
          <w:marLeft w:val="547"/>
          <w:marRight w:val="0"/>
          <w:marTop w:val="0"/>
          <w:marBottom w:val="240"/>
          <w:divBdr>
            <w:top w:val="none" w:sz="0" w:space="0" w:color="auto"/>
            <w:left w:val="none" w:sz="0" w:space="0" w:color="auto"/>
            <w:bottom w:val="none" w:sz="0" w:space="0" w:color="auto"/>
            <w:right w:val="none" w:sz="0" w:space="0" w:color="auto"/>
          </w:divBdr>
        </w:div>
        <w:div w:id="1424499227">
          <w:marLeft w:val="547"/>
          <w:marRight w:val="0"/>
          <w:marTop w:val="0"/>
          <w:marBottom w:val="240"/>
          <w:divBdr>
            <w:top w:val="none" w:sz="0" w:space="0" w:color="auto"/>
            <w:left w:val="none" w:sz="0" w:space="0" w:color="auto"/>
            <w:bottom w:val="none" w:sz="0" w:space="0" w:color="auto"/>
            <w:right w:val="none" w:sz="0" w:space="0" w:color="auto"/>
          </w:divBdr>
        </w:div>
      </w:divsChild>
    </w:div>
    <w:div w:id="1859930926">
      <w:bodyDiv w:val="1"/>
      <w:marLeft w:val="0"/>
      <w:marRight w:val="0"/>
      <w:marTop w:val="0"/>
      <w:marBottom w:val="0"/>
      <w:divBdr>
        <w:top w:val="none" w:sz="0" w:space="0" w:color="auto"/>
        <w:left w:val="none" w:sz="0" w:space="0" w:color="auto"/>
        <w:bottom w:val="none" w:sz="0" w:space="0" w:color="auto"/>
        <w:right w:val="none" w:sz="0" w:space="0" w:color="auto"/>
      </w:divBdr>
    </w:div>
    <w:div w:id="1949386913">
      <w:bodyDiv w:val="1"/>
      <w:marLeft w:val="0"/>
      <w:marRight w:val="0"/>
      <w:marTop w:val="0"/>
      <w:marBottom w:val="0"/>
      <w:divBdr>
        <w:top w:val="none" w:sz="0" w:space="0" w:color="auto"/>
        <w:left w:val="none" w:sz="0" w:space="0" w:color="auto"/>
        <w:bottom w:val="none" w:sz="0" w:space="0" w:color="auto"/>
        <w:right w:val="none" w:sz="0" w:space="0" w:color="auto"/>
      </w:divBdr>
      <w:divsChild>
        <w:div w:id="1957364915">
          <w:marLeft w:val="547"/>
          <w:marRight w:val="0"/>
          <w:marTop w:val="0"/>
          <w:marBottom w:val="240"/>
          <w:divBdr>
            <w:top w:val="none" w:sz="0" w:space="0" w:color="auto"/>
            <w:left w:val="none" w:sz="0" w:space="0" w:color="auto"/>
            <w:bottom w:val="none" w:sz="0" w:space="0" w:color="auto"/>
            <w:right w:val="none" w:sz="0" w:space="0" w:color="auto"/>
          </w:divBdr>
        </w:div>
        <w:div w:id="1472360368">
          <w:marLeft w:val="547"/>
          <w:marRight w:val="0"/>
          <w:marTop w:val="0"/>
          <w:marBottom w:val="240"/>
          <w:divBdr>
            <w:top w:val="none" w:sz="0" w:space="0" w:color="auto"/>
            <w:left w:val="none" w:sz="0" w:space="0" w:color="auto"/>
            <w:bottom w:val="none" w:sz="0" w:space="0" w:color="auto"/>
            <w:right w:val="none" w:sz="0" w:space="0" w:color="auto"/>
          </w:divBdr>
        </w:div>
        <w:div w:id="1022629368">
          <w:marLeft w:val="547"/>
          <w:marRight w:val="0"/>
          <w:marTop w:val="0"/>
          <w:marBottom w:val="240"/>
          <w:divBdr>
            <w:top w:val="none" w:sz="0" w:space="0" w:color="auto"/>
            <w:left w:val="none" w:sz="0" w:space="0" w:color="auto"/>
            <w:bottom w:val="none" w:sz="0" w:space="0" w:color="auto"/>
            <w:right w:val="none" w:sz="0" w:space="0" w:color="auto"/>
          </w:divBdr>
        </w:div>
        <w:div w:id="1835756378">
          <w:marLeft w:val="547"/>
          <w:marRight w:val="0"/>
          <w:marTop w:val="0"/>
          <w:marBottom w:val="240"/>
          <w:divBdr>
            <w:top w:val="none" w:sz="0" w:space="0" w:color="auto"/>
            <w:left w:val="none" w:sz="0" w:space="0" w:color="auto"/>
            <w:bottom w:val="none" w:sz="0" w:space="0" w:color="auto"/>
            <w:right w:val="none" w:sz="0" w:space="0" w:color="auto"/>
          </w:divBdr>
        </w:div>
      </w:divsChild>
    </w:div>
    <w:div w:id="1963416650">
      <w:bodyDiv w:val="1"/>
      <w:marLeft w:val="0"/>
      <w:marRight w:val="0"/>
      <w:marTop w:val="0"/>
      <w:marBottom w:val="0"/>
      <w:divBdr>
        <w:top w:val="none" w:sz="0" w:space="0" w:color="auto"/>
        <w:left w:val="none" w:sz="0" w:space="0" w:color="auto"/>
        <w:bottom w:val="none" w:sz="0" w:space="0" w:color="auto"/>
        <w:right w:val="none" w:sz="0" w:space="0" w:color="auto"/>
      </w:divBdr>
    </w:div>
    <w:div w:id="2036424624">
      <w:bodyDiv w:val="1"/>
      <w:marLeft w:val="0"/>
      <w:marRight w:val="0"/>
      <w:marTop w:val="0"/>
      <w:marBottom w:val="0"/>
      <w:divBdr>
        <w:top w:val="none" w:sz="0" w:space="0" w:color="auto"/>
        <w:left w:val="none" w:sz="0" w:space="0" w:color="auto"/>
        <w:bottom w:val="none" w:sz="0" w:space="0" w:color="auto"/>
        <w:right w:val="none" w:sz="0" w:space="0" w:color="auto"/>
      </w:divBdr>
      <w:divsChild>
        <w:div w:id="2137328913">
          <w:marLeft w:val="547"/>
          <w:marRight w:val="0"/>
          <w:marTop w:val="0"/>
          <w:marBottom w:val="240"/>
          <w:divBdr>
            <w:top w:val="none" w:sz="0" w:space="0" w:color="auto"/>
            <w:left w:val="none" w:sz="0" w:space="0" w:color="auto"/>
            <w:bottom w:val="none" w:sz="0" w:space="0" w:color="auto"/>
            <w:right w:val="none" w:sz="0" w:space="0" w:color="auto"/>
          </w:divBdr>
        </w:div>
        <w:div w:id="1997344022">
          <w:marLeft w:val="547"/>
          <w:marRight w:val="0"/>
          <w:marTop w:val="0"/>
          <w:marBottom w:val="240"/>
          <w:divBdr>
            <w:top w:val="none" w:sz="0" w:space="0" w:color="auto"/>
            <w:left w:val="none" w:sz="0" w:space="0" w:color="auto"/>
            <w:bottom w:val="none" w:sz="0" w:space="0" w:color="auto"/>
            <w:right w:val="none" w:sz="0" w:space="0" w:color="auto"/>
          </w:divBdr>
        </w:div>
        <w:div w:id="1011448717">
          <w:marLeft w:val="547"/>
          <w:marRight w:val="0"/>
          <w:marTop w:val="0"/>
          <w:marBottom w:val="240"/>
          <w:divBdr>
            <w:top w:val="none" w:sz="0" w:space="0" w:color="auto"/>
            <w:left w:val="none" w:sz="0" w:space="0" w:color="auto"/>
            <w:bottom w:val="none" w:sz="0" w:space="0" w:color="auto"/>
            <w:right w:val="none" w:sz="0" w:space="0" w:color="auto"/>
          </w:divBdr>
        </w:div>
      </w:divsChild>
    </w:div>
    <w:div w:id="2138643131">
      <w:bodyDiv w:val="1"/>
      <w:marLeft w:val="0"/>
      <w:marRight w:val="0"/>
      <w:marTop w:val="0"/>
      <w:marBottom w:val="0"/>
      <w:divBdr>
        <w:top w:val="none" w:sz="0" w:space="0" w:color="auto"/>
        <w:left w:val="none" w:sz="0" w:space="0" w:color="auto"/>
        <w:bottom w:val="none" w:sz="0" w:space="0" w:color="auto"/>
        <w:right w:val="none" w:sz="0" w:space="0" w:color="auto"/>
      </w:divBdr>
      <w:divsChild>
        <w:div w:id="1956716508">
          <w:marLeft w:val="547"/>
          <w:marRight w:val="0"/>
          <w:marTop w:val="0"/>
          <w:marBottom w:val="240"/>
          <w:divBdr>
            <w:top w:val="none" w:sz="0" w:space="0" w:color="auto"/>
            <w:left w:val="none" w:sz="0" w:space="0" w:color="auto"/>
            <w:bottom w:val="none" w:sz="0" w:space="0" w:color="auto"/>
            <w:right w:val="none" w:sz="0" w:space="0" w:color="auto"/>
          </w:divBdr>
        </w:div>
        <w:div w:id="244844184">
          <w:marLeft w:val="547"/>
          <w:marRight w:val="0"/>
          <w:marTop w:val="0"/>
          <w:marBottom w:val="240"/>
          <w:divBdr>
            <w:top w:val="none" w:sz="0" w:space="0" w:color="auto"/>
            <w:left w:val="none" w:sz="0" w:space="0" w:color="auto"/>
            <w:bottom w:val="none" w:sz="0" w:space="0" w:color="auto"/>
            <w:right w:val="none" w:sz="0" w:space="0" w:color="auto"/>
          </w:divBdr>
        </w:div>
        <w:div w:id="1644458891">
          <w:marLeft w:val="547"/>
          <w:marRight w:val="0"/>
          <w:marTop w:val="0"/>
          <w:marBottom w:val="240"/>
          <w:divBdr>
            <w:top w:val="none" w:sz="0" w:space="0" w:color="auto"/>
            <w:left w:val="none" w:sz="0" w:space="0" w:color="auto"/>
            <w:bottom w:val="none" w:sz="0" w:space="0" w:color="auto"/>
            <w:right w:val="none" w:sz="0" w:space="0" w:color="auto"/>
          </w:divBdr>
        </w:div>
        <w:div w:id="1817800026">
          <w:marLeft w:val="547"/>
          <w:marRight w:val="0"/>
          <w:marTop w:val="0"/>
          <w:marBottom w:val="240"/>
          <w:divBdr>
            <w:top w:val="none" w:sz="0" w:space="0" w:color="auto"/>
            <w:left w:val="none" w:sz="0" w:space="0" w:color="auto"/>
            <w:bottom w:val="none" w:sz="0" w:space="0" w:color="auto"/>
            <w:right w:val="none" w:sz="0" w:space="0" w:color="auto"/>
          </w:divBdr>
        </w:div>
        <w:div w:id="279456831">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cc.edu/departments/college-planning/strategic-plan-assessment" TargetMode="External"/><Relationship Id="rId4" Type="http://schemas.openxmlformats.org/officeDocument/2006/relationships/settings" Target="settings.xml"/><Relationship Id="rId9" Type="http://schemas.openxmlformats.org/officeDocument/2006/relationships/hyperlink" Target="https://cocc.edu/departments/college-planning/strategic-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5CBF-DD61-4E04-8EE6-091FCE13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Moore</dc:creator>
  <cp:keywords/>
  <dc:description/>
  <cp:lastModifiedBy>Sarah Moussa-Hale</cp:lastModifiedBy>
  <cp:revision>2</cp:revision>
  <cp:lastPrinted>2024-07-03T17:01:00Z</cp:lastPrinted>
  <dcterms:created xsi:type="dcterms:W3CDTF">2025-06-13T15:34:00Z</dcterms:created>
  <dcterms:modified xsi:type="dcterms:W3CDTF">2025-06-13T15:34:00Z</dcterms:modified>
</cp:coreProperties>
</file>