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19324D">
        <w:rPr>
          <w:b/>
          <w:sz w:val="28"/>
        </w:rPr>
        <w:t>Notes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9056D4" w:rsidP="005857F2">
            <w:r>
              <w:t>Jan 31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52002E" w:rsidP="000F2D64">
            <w:pPr>
              <w:rPr>
                <w:highlight w:val="yellow"/>
              </w:rPr>
            </w:pPr>
            <w:r>
              <w:t>Christopher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9056D4">
            <w:r>
              <w:t>2:00-3:00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DC3893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Default="00FB563D" w:rsidP="00E2692C">
            <w:r>
              <w:t>x</w:t>
            </w:r>
          </w:p>
        </w:tc>
        <w:tc>
          <w:tcPr>
            <w:tcW w:w="937" w:type="pct"/>
            <w:shd w:val="clear" w:color="auto" w:fill="auto"/>
          </w:tcPr>
          <w:p w:rsidR="00426709" w:rsidRDefault="00953FA3" w:rsidP="00AD5172">
            <w:r>
              <w:t>Jake Agatucci</w:t>
            </w:r>
          </w:p>
        </w:tc>
        <w:tc>
          <w:tcPr>
            <w:tcW w:w="218" w:type="pct"/>
            <w:shd w:val="clear" w:color="auto" w:fill="auto"/>
          </w:tcPr>
          <w:p w:rsidR="00426709" w:rsidRDefault="00BF52EC" w:rsidP="00E2692C">
            <w:r>
              <w:t>x</w:t>
            </w:r>
          </w:p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953FA3" w:rsidP="00E2692C">
            <w:r>
              <w:t>Beth Palmer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  <w:tr w:rsidR="00426709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:rsidR="00426709" w:rsidRDefault="00BF52EC" w:rsidP="00E2692C">
            <w:r>
              <w:t>x</w:t>
            </w:r>
          </w:p>
        </w:tc>
        <w:tc>
          <w:tcPr>
            <w:tcW w:w="937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:rsidR="00426709" w:rsidRDefault="00FB563D" w:rsidP="00E2692C">
            <w:r>
              <w:t>x</w:t>
            </w:r>
          </w:p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:rsidR="00426709" w:rsidRDefault="00FB563D" w:rsidP="00E2692C">
            <w:r>
              <w:t>x</w:t>
            </w:r>
          </w:p>
        </w:tc>
        <w:tc>
          <w:tcPr>
            <w:tcW w:w="937" w:type="pct"/>
          </w:tcPr>
          <w:p w:rsidR="00426709" w:rsidRPr="006366BC" w:rsidRDefault="00953FA3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BF52EC" w:rsidP="00E2692C">
            <w:r>
              <w:t>x</w:t>
            </w:r>
          </w:p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DC3893" w:rsidRPr="009056D4" w:rsidRDefault="009056D4" w:rsidP="00DC3893">
      <w:pPr>
        <w:rPr>
          <w:b/>
        </w:rPr>
      </w:pPr>
      <w:r w:rsidRPr="009056D4">
        <w:rPr>
          <w:b/>
        </w:rPr>
        <w:t>Agenda:</w:t>
      </w:r>
    </w:p>
    <w:p w:rsidR="00DC3893" w:rsidRDefault="00DC3893" w:rsidP="00DC3893"/>
    <w:p w:rsidR="00DC3893" w:rsidRDefault="00DC3893" w:rsidP="00DC3893">
      <w:pPr>
        <w:pStyle w:val="ListParagraph"/>
        <w:numPr>
          <w:ilvl w:val="0"/>
          <w:numId w:val="28"/>
        </w:numPr>
      </w:pPr>
      <w:r>
        <w:t xml:space="preserve">Call to order (5 minutes), </w:t>
      </w:r>
      <w:r w:rsidRPr="006F2B4A">
        <w:t>Chair</w:t>
      </w: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 xml:space="preserve">Review of previous meeting notes, </w:t>
      </w:r>
      <w:r w:rsidRPr="006F2B4A">
        <w:t>All</w:t>
      </w:r>
    </w:p>
    <w:p w:rsidR="00DC3893" w:rsidRDefault="00DC3893" w:rsidP="00DC3893"/>
    <w:p w:rsidR="00BF52EC" w:rsidRDefault="00BF52EC" w:rsidP="00BF52EC">
      <w:pPr>
        <w:pStyle w:val="ListParagraph"/>
        <w:numPr>
          <w:ilvl w:val="0"/>
          <w:numId w:val="31"/>
        </w:numPr>
      </w:pPr>
      <w:r>
        <w:t>Kristin and Christopher have reviewed ABS projects and are awaiting coordination with Jenni to discuss.</w:t>
      </w:r>
    </w:p>
    <w:p w:rsidR="00BF52EC" w:rsidRPr="00BF52EC" w:rsidRDefault="00BF52EC" w:rsidP="00BF52EC">
      <w:pPr>
        <w:pStyle w:val="ListParagraph"/>
        <w:numPr>
          <w:ilvl w:val="0"/>
          <w:numId w:val="31"/>
        </w:numPr>
        <w:rPr>
          <w:color w:val="FF0000"/>
        </w:rPr>
      </w:pPr>
      <w:r w:rsidRPr="00BF52EC">
        <w:rPr>
          <w:color w:val="FF0000"/>
        </w:rPr>
        <w:t xml:space="preserve">Action: Vickery will send out the summary of comments for recognition awards; members should read and please review the projects on which you were a reader to ensure the comments </w:t>
      </w:r>
      <w:proofErr w:type="gramStart"/>
      <w:r w:rsidRPr="00BF52EC">
        <w:rPr>
          <w:color w:val="FF0000"/>
        </w:rPr>
        <w:t>are based</w:t>
      </w:r>
      <w:proofErr w:type="gramEnd"/>
      <w:r w:rsidRPr="00BF52EC">
        <w:rPr>
          <w:color w:val="FF0000"/>
        </w:rPr>
        <w:t xml:space="preserve"> in reality.</w:t>
      </w:r>
    </w:p>
    <w:p w:rsidR="00BF52EC" w:rsidRDefault="00BF52EC" w:rsidP="00BF52EC">
      <w:pPr>
        <w:pStyle w:val="ListParagraph"/>
        <w:numPr>
          <w:ilvl w:val="0"/>
          <w:numId w:val="31"/>
        </w:numPr>
      </w:pPr>
      <w:r>
        <w:t>Notes looked fine.</w:t>
      </w:r>
    </w:p>
    <w:p w:rsidR="00FB563D" w:rsidRDefault="00FB563D" w:rsidP="00DC3893"/>
    <w:p w:rsidR="0043192B" w:rsidRPr="0043192B" w:rsidRDefault="00136F7D" w:rsidP="000325F1">
      <w:pPr>
        <w:pStyle w:val="ListParagraph"/>
        <w:numPr>
          <w:ilvl w:val="0"/>
          <w:numId w:val="28"/>
        </w:numPr>
        <w:spacing w:after="160" w:line="259" w:lineRule="auto"/>
      </w:pPr>
      <w:hyperlink r:id="rId8" w:history="1">
        <w:r w:rsidR="009056D4" w:rsidRPr="0094048A">
          <w:rPr>
            <w:rStyle w:val="Hyperlink"/>
          </w:rPr>
          <w:t>NWCC</w:t>
        </w:r>
        <w:r w:rsidR="00E44180">
          <w:rPr>
            <w:rStyle w:val="Hyperlink"/>
          </w:rPr>
          <w:t>U</w:t>
        </w:r>
        <w:r w:rsidR="009056D4" w:rsidRPr="0094048A">
          <w:rPr>
            <w:rStyle w:val="Hyperlink"/>
          </w:rPr>
          <w:t xml:space="preserve"> Rubric for Assessment</w:t>
        </w:r>
      </w:hyperlink>
      <w:r w:rsidR="009056D4" w:rsidRPr="009056D4">
        <w:rPr>
          <w:color w:val="000000" w:themeColor="text1"/>
        </w:rPr>
        <w:t xml:space="preserve"> </w:t>
      </w:r>
      <w:r w:rsidR="006F2B4A">
        <w:rPr>
          <w:color w:val="000000" w:themeColor="text1"/>
        </w:rPr>
        <w:t>(35 minutes), All</w:t>
      </w:r>
    </w:p>
    <w:p w:rsidR="00761024" w:rsidRPr="00FB563D" w:rsidRDefault="0043192B" w:rsidP="0043192B">
      <w:pPr>
        <w:pStyle w:val="ListParagraph"/>
        <w:numPr>
          <w:ilvl w:val="1"/>
          <w:numId w:val="28"/>
        </w:numPr>
        <w:spacing w:after="160" w:line="259" w:lineRule="auto"/>
      </w:pPr>
      <w:r>
        <w:rPr>
          <w:color w:val="000000" w:themeColor="text1"/>
        </w:rPr>
        <w:t xml:space="preserve">Rubric located </w:t>
      </w:r>
      <w:r w:rsidR="009056D4" w:rsidRPr="009056D4">
        <w:rPr>
          <w:color w:val="000000" w:themeColor="text1"/>
        </w:rPr>
        <w:t>also in N: Drive</w:t>
      </w:r>
    </w:p>
    <w:p w:rsidR="00FB563D" w:rsidRPr="00DE48BC" w:rsidRDefault="00BF52EC" w:rsidP="00FB563D">
      <w:pPr>
        <w:spacing w:after="160" w:line="259" w:lineRule="auto"/>
        <w:rPr>
          <w:b/>
        </w:rPr>
      </w:pPr>
      <w:r w:rsidRPr="00DE48BC">
        <w:rPr>
          <w:b/>
        </w:rPr>
        <w:t>Background</w:t>
      </w:r>
    </w:p>
    <w:p w:rsidR="00BF52EC" w:rsidRDefault="00BF52EC" w:rsidP="00FB563D">
      <w:pPr>
        <w:spacing w:after="160" w:line="259" w:lineRule="auto"/>
      </w:pPr>
      <w:r>
        <w:t>COCC designed our current approach to assessment with LOA and the VPI</w:t>
      </w:r>
      <w:proofErr w:type="gramStart"/>
      <w:r w:rsidR="00DE48BC">
        <w:t>,</w:t>
      </w:r>
      <w:r>
        <w:t xml:space="preserve"> basically</w:t>
      </w:r>
      <w:proofErr w:type="gramEnd"/>
      <w:r>
        <w:t xml:space="preserve"> creating a more comprehensive and defined system than existed, beginning in 2015. There </w:t>
      </w:r>
      <w:r w:rsidR="00DE48BC">
        <w:t xml:space="preserve">was not significant guidance from NWCCU at this time. More recently, the rubric above appeared and then </w:t>
      </w:r>
      <w:proofErr w:type="gramStart"/>
      <w:r w:rsidR="00DE48BC">
        <w:t>was posted</w:t>
      </w:r>
      <w:proofErr w:type="gramEnd"/>
      <w:r w:rsidR="00DE48BC">
        <w:t xml:space="preserve"> to the web site.  LOA members can use this rubric as a tool to evaluate our current system of assessment knowing that the values implied in the rubric may not fully align with COCC’s approach. </w:t>
      </w:r>
    </w:p>
    <w:p w:rsidR="00FB563D" w:rsidRPr="00DE48BC" w:rsidRDefault="00DE48BC" w:rsidP="00FB563D">
      <w:pPr>
        <w:spacing w:after="160" w:line="259" w:lineRule="auto"/>
        <w:rPr>
          <w:b/>
        </w:rPr>
      </w:pPr>
      <w:r w:rsidRPr="00DE48BC">
        <w:rPr>
          <w:b/>
        </w:rPr>
        <w:t>Discussion of rubric</w:t>
      </w:r>
    </w:p>
    <w:p w:rsidR="00556145" w:rsidRDefault="00DE48BC" w:rsidP="00556145">
      <w:pPr>
        <w:pStyle w:val="ListParagraph"/>
        <w:numPr>
          <w:ilvl w:val="0"/>
          <w:numId w:val="32"/>
        </w:numPr>
        <w:spacing w:after="160" w:line="259" w:lineRule="auto"/>
      </w:pPr>
      <w:r>
        <w:t xml:space="preserve">Is it assessing the institution or LOA? </w:t>
      </w:r>
    </w:p>
    <w:p w:rsidR="00DE48BC" w:rsidRDefault="00DE48BC" w:rsidP="00556145">
      <w:pPr>
        <w:pStyle w:val="ListParagraph"/>
        <w:numPr>
          <w:ilvl w:val="1"/>
          <w:numId w:val="32"/>
        </w:numPr>
        <w:spacing w:after="160" w:line="259" w:lineRule="auto"/>
      </w:pPr>
      <w:r>
        <w:t>It is focused on learning outcome assessment so useful for our “system of learning outcome assessment” but not for institutional assessment (APR for example).</w:t>
      </w:r>
    </w:p>
    <w:p w:rsidR="00DE48BC" w:rsidRDefault="00556145" w:rsidP="00556145">
      <w:pPr>
        <w:pStyle w:val="ListParagraph"/>
        <w:numPr>
          <w:ilvl w:val="0"/>
          <w:numId w:val="32"/>
        </w:numPr>
        <w:spacing w:after="160" w:line="259" w:lineRule="auto"/>
      </w:pPr>
      <w:r>
        <w:t xml:space="preserve">It refers to “reliable,” but that </w:t>
      </w:r>
      <w:proofErr w:type="gramStart"/>
      <w:r>
        <w:t>doesn’t</w:t>
      </w:r>
      <w:proofErr w:type="gramEnd"/>
      <w:r>
        <w:t xml:space="preserve"> apply. We are not conducting formal research studies in which the measurement </w:t>
      </w:r>
      <w:proofErr w:type="gramStart"/>
      <w:r>
        <w:t>is applied</w:t>
      </w:r>
      <w:proofErr w:type="gramEnd"/>
      <w:r>
        <w:t xml:space="preserve"> numerous times. </w:t>
      </w:r>
    </w:p>
    <w:p w:rsidR="00556145" w:rsidRDefault="00556145" w:rsidP="00556145">
      <w:pPr>
        <w:pStyle w:val="ListParagraph"/>
        <w:numPr>
          <w:ilvl w:val="0"/>
          <w:numId w:val="32"/>
        </w:numPr>
        <w:spacing w:after="160" w:line="259" w:lineRule="auto"/>
      </w:pPr>
      <w:r>
        <w:t>Same issue with “inter-rater reliability”.</w:t>
      </w:r>
    </w:p>
    <w:p w:rsidR="00556145" w:rsidRDefault="00556145" w:rsidP="00556145">
      <w:pPr>
        <w:pStyle w:val="ListParagraph"/>
        <w:numPr>
          <w:ilvl w:val="1"/>
          <w:numId w:val="32"/>
        </w:numPr>
        <w:spacing w:after="160" w:line="259" w:lineRule="auto"/>
      </w:pPr>
      <w:r>
        <w:t>Some COCC projects have used the same measurement over an extended period (forestry with the national foresters exam, psychology with their inserted reflective questions approach).</w:t>
      </w:r>
    </w:p>
    <w:p w:rsidR="00556145" w:rsidRDefault="00556145" w:rsidP="00556145">
      <w:pPr>
        <w:pStyle w:val="ListParagraph"/>
        <w:numPr>
          <w:ilvl w:val="1"/>
          <w:numId w:val="32"/>
        </w:numPr>
        <w:spacing w:after="160" w:line="259" w:lineRule="auto"/>
      </w:pPr>
      <w:r>
        <w:t>Our focus at this point is on improving learning rather than specific standards of research approaches.</w:t>
      </w:r>
    </w:p>
    <w:p w:rsidR="00556145" w:rsidRDefault="00556145" w:rsidP="00556145">
      <w:pPr>
        <w:pStyle w:val="ListParagraph"/>
        <w:numPr>
          <w:ilvl w:val="0"/>
          <w:numId w:val="32"/>
        </w:numPr>
        <w:spacing w:after="160" w:line="259" w:lineRule="auto"/>
      </w:pPr>
      <w:r>
        <w:t xml:space="preserve">Should we </w:t>
      </w:r>
      <w:r w:rsidR="004422E8">
        <w:t xml:space="preserve">use the rubric to </w:t>
      </w:r>
      <w:r>
        <w:t>evaluate our system (LOA</w:t>
      </w:r>
      <w:r w:rsidR="004422E8">
        <w:t xml:space="preserve">’s work) or to evaluate how projects are performing? </w:t>
      </w:r>
    </w:p>
    <w:p w:rsidR="004422E8" w:rsidRDefault="004422E8" w:rsidP="004422E8">
      <w:pPr>
        <w:pStyle w:val="ListParagraph"/>
        <w:numPr>
          <w:ilvl w:val="1"/>
          <w:numId w:val="32"/>
        </w:numPr>
        <w:spacing w:after="160" w:line="259" w:lineRule="auto"/>
      </w:pPr>
      <w:r>
        <w:lastRenderedPageBreak/>
        <w:t>This was an ongoing discussion point; generally, we think our system is developed /highly developed but we have projects in various stages.</w:t>
      </w:r>
    </w:p>
    <w:p w:rsidR="004422E8" w:rsidRDefault="004422E8" w:rsidP="004422E8">
      <w:pPr>
        <w:pStyle w:val="ListParagraph"/>
        <w:numPr>
          <w:ilvl w:val="0"/>
          <w:numId w:val="32"/>
        </w:numPr>
        <w:spacing w:after="160" w:line="259" w:lineRule="auto"/>
      </w:pPr>
      <w:r>
        <w:t xml:space="preserve">The rubric is difficult to use in some areas because it introduces new criterion at higher levels. We could consider writing our own evaluation rubric. </w:t>
      </w:r>
    </w:p>
    <w:p w:rsidR="004422E8" w:rsidRDefault="004422E8" w:rsidP="004422E8">
      <w:pPr>
        <w:pStyle w:val="ListParagraph"/>
        <w:numPr>
          <w:ilvl w:val="0"/>
          <w:numId w:val="32"/>
        </w:numPr>
        <w:spacing w:after="160" w:line="259" w:lineRule="auto"/>
      </w:pPr>
      <w:r>
        <w:t>Nonetheless, we persisted.</w:t>
      </w:r>
    </w:p>
    <w:p w:rsidR="004422E8" w:rsidRPr="00136F7D" w:rsidRDefault="004422E8" w:rsidP="004422E8">
      <w:pPr>
        <w:spacing w:after="160" w:line="259" w:lineRule="auto"/>
        <w:rPr>
          <w:b/>
        </w:rPr>
      </w:pPr>
      <w:r w:rsidRPr="00136F7D">
        <w:rPr>
          <w:b/>
        </w:rPr>
        <w:t>1. Assessment Planning</w:t>
      </w:r>
    </w:p>
    <w:p w:rsidR="004422E8" w:rsidRDefault="004422E8" w:rsidP="004422E8">
      <w:pPr>
        <w:pStyle w:val="ListParagraph"/>
        <w:numPr>
          <w:ilvl w:val="0"/>
          <w:numId w:val="33"/>
        </w:numPr>
        <w:spacing w:after="160" w:line="259" w:lineRule="auto"/>
      </w:pPr>
      <w:r>
        <w:t xml:space="preserve">Highly advanced: we have a clear plan (we call it a system) with several years of implementation. </w:t>
      </w:r>
    </w:p>
    <w:p w:rsidR="004422E8" w:rsidRDefault="004422E8" w:rsidP="004422E8">
      <w:pPr>
        <w:pStyle w:val="ListParagraph"/>
        <w:numPr>
          <w:ilvl w:val="0"/>
          <w:numId w:val="33"/>
        </w:numPr>
        <w:spacing w:after="160" w:line="259" w:lineRule="auto"/>
      </w:pPr>
      <w:r>
        <w:t>Our next challenge is to sustain this into the future. COCC has had a pattern of starting assessment approaches and then stopping (GEODE, COG/POG/TOG, General Ed).</w:t>
      </w:r>
    </w:p>
    <w:p w:rsidR="004422E8" w:rsidRDefault="004422E8" w:rsidP="004422E8">
      <w:pPr>
        <w:pStyle w:val="ListParagraph"/>
        <w:numPr>
          <w:ilvl w:val="0"/>
          <w:numId w:val="33"/>
        </w:numPr>
        <w:spacing w:after="160" w:line="259" w:lineRule="auto"/>
      </w:pPr>
      <w:r>
        <w:t xml:space="preserve">Our current approach is one of, if not the, longest sustained effort of learning outcome assessment at COCC. </w:t>
      </w:r>
    </w:p>
    <w:p w:rsidR="004422E8" w:rsidRDefault="004422E8" w:rsidP="004422E8">
      <w:pPr>
        <w:pStyle w:val="ListParagraph"/>
        <w:numPr>
          <w:ilvl w:val="1"/>
          <w:numId w:val="33"/>
        </w:numPr>
        <w:spacing w:after="160" w:line="259" w:lineRule="auto"/>
      </w:pPr>
      <w:r>
        <w:t>Elements that contribute to our ability to sustain it into the future: a position, LOA, the VPI and the leadership to include the instructional deans in the process.</w:t>
      </w:r>
    </w:p>
    <w:p w:rsidR="004422E8" w:rsidRDefault="004422E8" w:rsidP="004422E8">
      <w:pPr>
        <w:pStyle w:val="ListParagraph"/>
        <w:numPr>
          <w:ilvl w:val="0"/>
          <w:numId w:val="33"/>
        </w:numPr>
        <w:spacing w:after="160" w:line="259" w:lineRule="auto"/>
      </w:pPr>
      <w:r>
        <w:t xml:space="preserve">The “Sustainability Primer” has tools that </w:t>
      </w:r>
      <w:proofErr w:type="gramStart"/>
      <w:r>
        <w:t>can be used</w:t>
      </w:r>
      <w:proofErr w:type="gramEnd"/>
      <w:r>
        <w:t xml:space="preserve"> to sustain assessment efforts.</w:t>
      </w:r>
    </w:p>
    <w:p w:rsidR="004422E8" w:rsidRPr="00136F7D" w:rsidRDefault="004422E8" w:rsidP="004422E8">
      <w:pPr>
        <w:spacing w:after="160" w:line="259" w:lineRule="auto"/>
        <w:rPr>
          <w:b/>
        </w:rPr>
      </w:pPr>
      <w:r w:rsidRPr="00136F7D">
        <w:rPr>
          <w:b/>
        </w:rPr>
        <w:t>2. Assessable outcomes</w:t>
      </w:r>
    </w:p>
    <w:p w:rsidR="004422E8" w:rsidRDefault="004422E8" w:rsidP="004422E8">
      <w:pPr>
        <w:pStyle w:val="ListParagraph"/>
        <w:numPr>
          <w:ilvl w:val="0"/>
          <w:numId w:val="34"/>
        </w:numPr>
        <w:spacing w:after="160" w:line="259" w:lineRule="auto"/>
      </w:pPr>
      <w:r>
        <w:t xml:space="preserve">Are they referring to GE? Course outcomes? Program outcomes? </w:t>
      </w:r>
    </w:p>
    <w:p w:rsidR="004422E8" w:rsidRDefault="004422E8" w:rsidP="004422E8">
      <w:pPr>
        <w:pStyle w:val="ListParagraph"/>
        <w:numPr>
          <w:ilvl w:val="0"/>
          <w:numId w:val="34"/>
        </w:numPr>
        <w:spacing w:after="160" w:line="259" w:lineRule="auto"/>
      </w:pPr>
      <w:r>
        <w:t xml:space="preserve">For GE, these outcomes </w:t>
      </w:r>
      <w:proofErr w:type="gramStart"/>
      <w:r>
        <w:t>are provided</w:t>
      </w:r>
      <w:proofErr w:type="gramEnd"/>
      <w:r>
        <w:t xml:space="preserve"> to us and are problematic. Addressing this issue should be on our radar (discussed replacing them with more useful outcome statements).</w:t>
      </w:r>
    </w:p>
    <w:p w:rsidR="004422E8" w:rsidRDefault="004422E8" w:rsidP="004422E8">
      <w:pPr>
        <w:pStyle w:val="ListParagraph"/>
        <w:numPr>
          <w:ilvl w:val="0"/>
          <w:numId w:val="34"/>
        </w:numPr>
        <w:spacing w:after="160" w:line="259" w:lineRule="auto"/>
      </w:pPr>
      <w:r>
        <w:t xml:space="preserve">For CTE, this varies. About 2/3 are in good shape, and we see activity </w:t>
      </w:r>
    </w:p>
    <w:p w:rsidR="00556145" w:rsidRPr="00136F7D" w:rsidRDefault="004422E8" w:rsidP="00556145">
      <w:pPr>
        <w:spacing w:after="160" w:line="259" w:lineRule="auto"/>
        <w:rPr>
          <w:b/>
        </w:rPr>
      </w:pPr>
      <w:r w:rsidRPr="00136F7D">
        <w:rPr>
          <w:b/>
        </w:rPr>
        <w:t>3. Assessment Implementation</w:t>
      </w:r>
    </w:p>
    <w:p w:rsidR="004422E8" w:rsidRDefault="00CB28FD" w:rsidP="004422E8">
      <w:pPr>
        <w:pStyle w:val="ListParagraph"/>
        <w:numPr>
          <w:ilvl w:val="0"/>
          <w:numId w:val="35"/>
        </w:numPr>
        <w:spacing w:after="160" w:line="259" w:lineRule="auto"/>
      </w:pPr>
      <w:r>
        <w:t xml:space="preserve">This gives us support in asking faculty </w:t>
      </w:r>
      <w:proofErr w:type="gramStart"/>
      <w:r>
        <w:t>to better explain</w:t>
      </w:r>
      <w:proofErr w:type="gramEnd"/>
      <w:r>
        <w:t xml:space="preserve"> criteria used for evaluating student evidence, which is sometimes not clear.</w:t>
      </w:r>
    </w:p>
    <w:p w:rsidR="00CB28FD" w:rsidRDefault="00CB28FD" w:rsidP="004422E8">
      <w:pPr>
        <w:pStyle w:val="ListParagraph"/>
        <w:numPr>
          <w:ilvl w:val="0"/>
          <w:numId w:val="35"/>
        </w:numPr>
        <w:spacing w:after="160" w:line="259" w:lineRule="auto"/>
      </w:pPr>
      <w:r>
        <w:t xml:space="preserve">Are we evaluating projects or the institution? COCC expects alignment, but we </w:t>
      </w:r>
      <w:proofErr w:type="gramStart"/>
      <w:r>
        <w:t>don’t</w:t>
      </w:r>
      <w:proofErr w:type="gramEnd"/>
      <w:r>
        <w:t xml:space="preserve"> always have it at the project level. </w:t>
      </w:r>
    </w:p>
    <w:p w:rsidR="00CB28FD" w:rsidRDefault="00CB28FD" w:rsidP="004422E8">
      <w:pPr>
        <w:pStyle w:val="ListParagraph"/>
        <w:numPr>
          <w:ilvl w:val="0"/>
          <w:numId w:val="35"/>
        </w:numPr>
        <w:spacing w:after="160" w:line="259" w:lineRule="auto"/>
      </w:pPr>
      <w:r>
        <w:t>The system is “highly developed” but implementation is varied.</w:t>
      </w:r>
    </w:p>
    <w:p w:rsidR="004422E8" w:rsidRPr="00136F7D" w:rsidRDefault="004422E8" w:rsidP="00556145">
      <w:pPr>
        <w:spacing w:after="160" w:line="259" w:lineRule="auto"/>
        <w:rPr>
          <w:b/>
        </w:rPr>
      </w:pPr>
      <w:r w:rsidRPr="00136F7D">
        <w:rPr>
          <w:b/>
        </w:rPr>
        <w:t>4. Alignment</w:t>
      </w:r>
    </w:p>
    <w:p w:rsidR="004422E8" w:rsidRDefault="00CB28FD" w:rsidP="00CB28FD">
      <w:pPr>
        <w:pStyle w:val="ListParagraph"/>
        <w:numPr>
          <w:ilvl w:val="0"/>
          <w:numId w:val="36"/>
        </w:numPr>
        <w:spacing w:after="160" w:line="259" w:lineRule="auto"/>
      </w:pPr>
      <w:r>
        <w:t>Not clear on what this means.</w:t>
      </w:r>
    </w:p>
    <w:p w:rsidR="00CB28FD" w:rsidRDefault="00CB28FD" w:rsidP="00CB28FD">
      <w:pPr>
        <w:pStyle w:val="ListParagraph"/>
        <w:numPr>
          <w:ilvl w:val="0"/>
          <w:numId w:val="36"/>
        </w:numPr>
        <w:spacing w:after="160" w:line="259" w:lineRule="auto"/>
      </w:pPr>
      <w:r>
        <w:t xml:space="preserve">The support services in the last cell were especially confusing. Does this </w:t>
      </w:r>
      <w:proofErr w:type="gramStart"/>
      <w:r>
        <w:t>mean</w:t>
      </w:r>
      <w:proofErr w:type="gramEnd"/>
      <w:r>
        <w:t xml:space="preserve"> “does tutoring support your students’ achieving of learning outcomes”?</w:t>
      </w:r>
    </w:p>
    <w:p w:rsidR="00CB28FD" w:rsidRDefault="00CB28FD" w:rsidP="00CB28FD">
      <w:pPr>
        <w:pStyle w:val="ListParagraph"/>
        <w:numPr>
          <w:ilvl w:val="1"/>
          <w:numId w:val="36"/>
        </w:numPr>
        <w:spacing w:after="160" w:line="259" w:lineRule="auto"/>
      </w:pPr>
      <w:r>
        <w:t>Tutoring</w:t>
      </w:r>
    </w:p>
    <w:p w:rsidR="00CB28FD" w:rsidRDefault="00CB28FD" w:rsidP="00CB28FD">
      <w:pPr>
        <w:pStyle w:val="ListParagraph"/>
        <w:numPr>
          <w:ilvl w:val="1"/>
          <w:numId w:val="36"/>
        </w:numPr>
        <w:spacing w:after="160" w:line="259" w:lineRule="auto"/>
      </w:pPr>
      <w:r>
        <w:t>eLearning</w:t>
      </w:r>
    </w:p>
    <w:p w:rsidR="00CB28FD" w:rsidRDefault="00CB28FD" w:rsidP="00CB28FD">
      <w:pPr>
        <w:pStyle w:val="ListParagraph"/>
        <w:numPr>
          <w:ilvl w:val="1"/>
          <w:numId w:val="36"/>
        </w:numPr>
        <w:spacing w:after="160" w:line="259" w:lineRule="auto"/>
      </w:pPr>
      <w:r>
        <w:t>Library</w:t>
      </w:r>
    </w:p>
    <w:p w:rsidR="00CB28FD" w:rsidRDefault="00CB28FD" w:rsidP="00CB28FD">
      <w:pPr>
        <w:pStyle w:val="ListParagraph"/>
        <w:numPr>
          <w:ilvl w:val="0"/>
          <w:numId w:val="36"/>
        </w:numPr>
        <w:spacing w:after="160" w:line="259" w:lineRule="auto"/>
      </w:pPr>
      <w:r>
        <w:t xml:space="preserve">Some align with outcomes, some </w:t>
      </w:r>
      <w:proofErr w:type="gramStart"/>
      <w:r>
        <w:t>don’t</w:t>
      </w:r>
      <w:proofErr w:type="gramEnd"/>
      <w:r>
        <w:t>.</w:t>
      </w:r>
    </w:p>
    <w:p w:rsidR="00CB28FD" w:rsidRDefault="00CB28FD" w:rsidP="00CB28FD">
      <w:pPr>
        <w:pStyle w:val="ListParagraph"/>
        <w:numPr>
          <w:ilvl w:val="0"/>
          <w:numId w:val="36"/>
        </w:numPr>
        <w:spacing w:after="160" w:line="259" w:lineRule="auto"/>
      </w:pPr>
      <w:r>
        <w:t xml:space="preserve">If we remove the last cell and focus on the relationship of outcomes to curriculum, our system promotes this. </w:t>
      </w:r>
    </w:p>
    <w:p w:rsidR="00CB28FD" w:rsidRDefault="00CB28FD" w:rsidP="00CB28FD">
      <w:pPr>
        <w:pStyle w:val="ListParagraph"/>
        <w:numPr>
          <w:ilvl w:val="1"/>
          <w:numId w:val="36"/>
        </w:numPr>
        <w:spacing w:after="160" w:line="259" w:lineRule="auto"/>
      </w:pPr>
      <w:r>
        <w:t>For example, Curriculum Committee asks questions about the tasks and methods used to measure outcomes in order to better shape outcomes.</w:t>
      </w:r>
    </w:p>
    <w:p w:rsidR="00CB28FD" w:rsidRDefault="00CB28FD" w:rsidP="00CB28FD">
      <w:pPr>
        <w:pStyle w:val="ListParagraph"/>
        <w:numPr>
          <w:ilvl w:val="1"/>
          <w:numId w:val="36"/>
        </w:numPr>
        <w:spacing w:after="160" w:line="259" w:lineRule="auto"/>
      </w:pPr>
      <w:r>
        <w:t>This is happening at the program level more as well.</w:t>
      </w:r>
    </w:p>
    <w:p w:rsidR="00CB28FD" w:rsidRDefault="00CB28FD" w:rsidP="00CB28FD">
      <w:pPr>
        <w:pStyle w:val="ListParagraph"/>
        <w:numPr>
          <w:ilvl w:val="0"/>
          <w:numId w:val="36"/>
        </w:numPr>
        <w:spacing w:after="160" w:line="259" w:lineRule="auto"/>
      </w:pPr>
      <w:r>
        <w:t>Are we looking at course or program?</w:t>
      </w:r>
    </w:p>
    <w:p w:rsidR="00CB28FD" w:rsidRDefault="00CB28FD" w:rsidP="00CB28FD">
      <w:pPr>
        <w:pStyle w:val="ListParagraph"/>
        <w:numPr>
          <w:ilvl w:val="1"/>
          <w:numId w:val="36"/>
        </w:numPr>
        <w:spacing w:after="160" w:line="259" w:lineRule="auto"/>
      </w:pPr>
      <w:r>
        <w:t xml:space="preserve">Focus of COCC and LOA is program. </w:t>
      </w:r>
    </w:p>
    <w:p w:rsidR="004422E8" w:rsidRPr="00136F7D" w:rsidRDefault="004422E8" w:rsidP="00556145">
      <w:pPr>
        <w:spacing w:after="160" w:line="259" w:lineRule="auto"/>
        <w:rPr>
          <w:b/>
        </w:rPr>
      </w:pPr>
      <w:r w:rsidRPr="00136F7D">
        <w:rPr>
          <w:b/>
        </w:rPr>
        <w:t>5. Valid Results</w:t>
      </w:r>
    </w:p>
    <w:p w:rsidR="004422E8" w:rsidRDefault="00CB28FD" w:rsidP="00CB28FD">
      <w:pPr>
        <w:pStyle w:val="ListParagraph"/>
        <w:numPr>
          <w:ilvl w:val="0"/>
          <w:numId w:val="37"/>
        </w:numPr>
        <w:spacing w:after="160" w:line="259" w:lineRule="auto"/>
      </w:pPr>
      <w:r>
        <w:lastRenderedPageBreak/>
        <w:t>Can we replace the concept of valid results with a representational sample? We have emphasized that in feedback (if you evaluated a course in the summer, or only sections taught by full-timers, is that a representational sample of all students in your course?)</w:t>
      </w:r>
    </w:p>
    <w:p w:rsidR="00CB28FD" w:rsidRDefault="00CB28FD" w:rsidP="00556145">
      <w:pPr>
        <w:pStyle w:val="ListParagraph"/>
        <w:numPr>
          <w:ilvl w:val="0"/>
          <w:numId w:val="37"/>
        </w:numPr>
        <w:spacing w:after="160" w:line="259" w:lineRule="auto"/>
      </w:pPr>
      <w:proofErr w:type="gramStart"/>
      <w:r>
        <w:t>Or</w:t>
      </w:r>
      <w:proofErr w:type="gramEnd"/>
      <w:r>
        <w:t xml:space="preserve"> should we take this question to mean does the measurement align to the outcome? If this is the interpretation, the system expects this but individual projects are emerging.</w:t>
      </w:r>
    </w:p>
    <w:p w:rsidR="004422E8" w:rsidRPr="00136F7D" w:rsidRDefault="004422E8" w:rsidP="00556145">
      <w:pPr>
        <w:spacing w:after="160" w:line="259" w:lineRule="auto"/>
        <w:rPr>
          <w:b/>
        </w:rPr>
      </w:pPr>
      <w:r w:rsidRPr="00136F7D">
        <w:rPr>
          <w:b/>
        </w:rPr>
        <w:t>6. Reliable results</w:t>
      </w:r>
    </w:p>
    <w:p w:rsidR="004422E8" w:rsidRDefault="00CB28FD" w:rsidP="00CB28FD">
      <w:pPr>
        <w:pStyle w:val="ListParagraph"/>
        <w:numPr>
          <w:ilvl w:val="0"/>
          <w:numId w:val="38"/>
        </w:numPr>
        <w:spacing w:after="160" w:line="259" w:lineRule="auto"/>
      </w:pPr>
      <w:r>
        <w:t>Can we interpret this as “norming” the scoring process? If we do this, then the system expects it and we have various levels of achievement.</w:t>
      </w:r>
    </w:p>
    <w:p w:rsidR="00CB28FD" w:rsidRDefault="00CB28FD" w:rsidP="00CB28FD">
      <w:pPr>
        <w:pStyle w:val="ListParagraph"/>
        <w:numPr>
          <w:ilvl w:val="0"/>
          <w:numId w:val="38"/>
        </w:numPr>
        <w:spacing w:after="160" w:line="259" w:lineRule="auto"/>
      </w:pPr>
      <w:r>
        <w:t xml:space="preserve">Some areas have one person, but others have several. </w:t>
      </w:r>
    </w:p>
    <w:p w:rsidR="004422E8" w:rsidRPr="00136F7D" w:rsidRDefault="004422E8" w:rsidP="00556145">
      <w:pPr>
        <w:spacing w:after="160" w:line="259" w:lineRule="auto"/>
        <w:rPr>
          <w:b/>
        </w:rPr>
      </w:pPr>
      <w:r w:rsidRPr="00136F7D">
        <w:rPr>
          <w:b/>
        </w:rPr>
        <w:t>7. Annual feedback</w:t>
      </w:r>
    </w:p>
    <w:p w:rsidR="004422E8" w:rsidRDefault="00CB28FD" w:rsidP="00CB28FD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We </w:t>
      </w:r>
      <w:proofErr w:type="gramStart"/>
      <w:r>
        <w:t>are developed</w:t>
      </w:r>
      <w:proofErr w:type="gramEnd"/>
      <w:r>
        <w:t xml:space="preserve"> since we are not confident of the “departmental use” in the highly developed category.</w:t>
      </w:r>
    </w:p>
    <w:p w:rsidR="00CB28FD" w:rsidRDefault="00CB28FD" w:rsidP="00CB28FD">
      <w:pPr>
        <w:pStyle w:val="ListParagraph"/>
        <w:numPr>
          <w:ilvl w:val="0"/>
          <w:numId w:val="39"/>
        </w:numPr>
        <w:spacing w:after="160" w:line="259" w:lineRule="auto"/>
      </w:pPr>
      <w:r>
        <w:t>Could this be an area of growth for us?</w:t>
      </w:r>
    </w:p>
    <w:p w:rsidR="00CB28FD" w:rsidRDefault="00CB28FD" w:rsidP="00CB28FD">
      <w:pPr>
        <w:pStyle w:val="ListParagraph"/>
        <w:numPr>
          <w:ilvl w:val="0"/>
          <w:numId w:val="39"/>
        </w:numPr>
        <w:spacing w:after="160" w:line="259" w:lineRule="auto"/>
      </w:pPr>
      <w:proofErr w:type="gramStart"/>
      <w:r>
        <w:t>We provide feedback, but is it used?</w:t>
      </w:r>
      <w:proofErr w:type="gramEnd"/>
    </w:p>
    <w:p w:rsidR="00CB28FD" w:rsidRDefault="00CB28FD" w:rsidP="00CB28FD">
      <w:pPr>
        <w:pStyle w:val="ListParagraph"/>
        <w:numPr>
          <w:ilvl w:val="0"/>
          <w:numId w:val="39"/>
        </w:numPr>
        <w:spacing w:after="160" w:line="259" w:lineRule="auto"/>
      </w:pPr>
      <w:r>
        <w:t>The feedback is much better since the deans are more involved.</w:t>
      </w:r>
    </w:p>
    <w:p w:rsidR="00CB28FD" w:rsidRDefault="00CB28FD" w:rsidP="00CB28FD">
      <w:pPr>
        <w:pStyle w:val="ListParagraph"/>
        <w:numPr>
          <w:ilvl w:val="0"/>
          <w:numId w:val="39"/>
        </w:numPr>
        <w:spacing w:after="160" w:line="259" w:lineRule="auto"/>
      </w:pPr>
      <w:r>
        <w:t>Posting reports and feedback on the intranet helps with this effort.</w:t>
      </w:r>
    </w:p>
    <w:p w:rsidR="00CB28FD" w:rsidRDefault="00CB28FD" w:rsidP="00CB28FD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The </w:t>
      </w:r>
      <w:proofErr w:type="gramStart"/>
      <w:r>
        <w:t>buddy</w:t>
      </w:r>
      <w:proofErr w:type="gramEnd"/>
      <w:r>
        <w:t xml:space="preserve"> project also supports providing feedback.</w:t>
      </w:r>
    </w:p>
    <w:p w:rsidR="004422E8" w:rsidRPr="00136F7D" w:rsidRDefault="004422E8" w:rsidP="00556145">
      <w:pPr>
        <w:spacing w:after="160" w:line="259" w:lineRule="auto"/>
        <w:rPr>
          <w:b/>
        </w:rPr>
      </w:pPr>
      <w:r w:rsidRPr="00136F7D">
        <w:rPr>
          <w:b/>
        </w:rPr>
        <w:t>8. Results are used</w:t>
      </w:r>
    </w:p>
    <w:p w:rsidR="004422E8" w:rsidRDefault="00136F7D" w:rsidP="00136F7D">
      <w:pPr>
        <w:pStyle w:val="ListParagraph"/>
        <w:numPr>
          <w:ilvl w:val="0"/>
          <w:numId w:val="40"/>
        </w:numPr>
        <w:spacing w:after="160" w:line="259" w:lineRule="auto"/>
      </w:pPr>
      <w:r>
        <w:t>We are either developed or highly developed.</w:t>
      </w:r>
    </w:p>
    <w:p w:rsidR="00136F7D" w:rsidRDefault="00136F7D" w:rsidP="00136F7D">
      <w:pPr>
        <w:pStyle w:val="ListParagraph"/>
        <w:numPr>
          <w:ilvl w:val="0"/>
          <w:numId w:val="40"/>
        </w:numPr>
        <w:spacing w:after="160" w:line="259" w:lineRule="auto"/>
      </w:pPr>
      <w:r>
        <w:t xml:space="preserve">Reviewed tracking of % of projects that result in improvements to learning </w:t>
      </w:r>
    </w:p>
    <w:p w:rsidR="00136F7D" w:rsidRDefault="00136F7D" w:rsidP="00136F7D">
      <w:pPr>
        <w:pStyle w:val="ListParagraph"/>
        <w:numPr>
          <w:ilvl w:val="0"/>
          <w:numId w:val="40"/>
        </w:numPr>
        <w:spacing w:after="160" w:line="259" w:lineRule="auto"/>
      </w:pPr>
      <w:r>
        <w:t>Should LOA be a place for faculty to bring results and determine improvements to learning?</w:t>
      </w:r>
    </w:p>
    <w:p w:rsidR="00136F7D" w:rsidRDefault="00136F7D" w:rsidP="00136F7D">
      <w:pPr>
        <w:pStyle w:val="ListParagraph"/>
        <w:numPr>
          <w:ilvl w:val="1"/>
          <w:numId w:val="40"/>
        </w:numPr>
        <w:spacing w:after="160" w:line="259" w:lineRule="auto"/>
      </w:pPr>
      <w:r>
        <w:t xml:space="preserve">These conversations about improvements should be ongoing, and not dependent on a formal structured meeting with LOA. </w:t>
      </w:r>
    </w:p>
    <w:p w:rsidR="00136F7D" w:rsidRDefault="00136F7D" w:rsidP="00136F7D">
      <w:pPr>
        <w:pStyle w:val="ListParagraph"/>
        <w:numPr>
          <w:ilvl w:val="1"/>
          <w:numId w:val="40"/>
        </w:numPr>
        <w:spacing w:after="160" w:line="259" w:lineRule="auto"/>
      </w:pPr>
      <w:r>
        <w:t>Or, the LOA conversation could be informal</w:t>
      </w:r>
    </w:p>
    <w:p w:rsidR="00136F7D" w:rsidRDefault="00136F7D" w:rsidP="00136F7D">
      <w:pPr>
        <w:pStyle w:val="ListParagraph"/>
        <w:numPr>
          <w:ilvl w:val="1"/>
          <w:numId w:val="40"/>
        </w:numPr>
        <w:spacing w:after="160" w:line="259" w:lineRule="auto"/>
      </w:pPr>
      <w:r>
        <w:t>Buddy system can help with guiding and supporting the ID of learning improvements.</w:t>
      </w:r>
    </w:p>
    <w:p w:rsidR="004422E8" w:rsidRPr="00136F7D" w:rsidRDefault="004422E8" w:rsidP="00556145">
      <w:pPr>
        <w:spacing w:after="160" w:line="259" w:lineRule="auto"/>
        <w:rPr>
          <w:b/>
        </w:rPr>
      </w:pPr>
      <w:r w:rsidRPr="00136F7D">
        <w:rPr>
          <w:b/>
        </w:rPr>
        <w:t>9. Planning and Budgeting</w:t>
      </w:r>
    </w:p>
    <w:p w:rsidR="00556145" w:rsidRDefault="00136F7D" w:rsidP="00136F7D">
      <w:pPr>
        <w:pStyle w:val="ListParagraph"/>
        <w:numPr>
          <w:ilvl w:val="0"/>
          <w:numId w:val="41"/>
        </w:numPr>
        <w:spacing w:after="160" w:line="259" w:lineRule="auto"/>
      </w:pPr>
      <w:r>
        <w:t>What does this mean?</w:t>
      </w:r>
    </w:p>
    <w:p w:rsidR="00136F7D" w:rsidRDefault="00136F7D" w:rsidP="00136F7D">
      <w:pPr>
        <w:pStyle w:val="ListParagraph"/>
        <w:numPr>
          <w:ilvl w:val="0"/>
          <w:numId w:val="41"/>
        </w:numPr>
        <w:spacing w:after="160" w:line="259" w:lineRule="auto"/>
      </w:pPr>
      <w:r>
        <w:t>We interpreted it more as “does the institution provide sufficient resources and support for learning outcomes assessment?”</w:t>
      </w:r>
    </w:p>
    <w:p w:rsidR="00136F7D" w:rsidRDefault="00136F7D" w:rsidP="00136F7D">
      <w:pPr>
        <w:pStyle w:val="ListParagraph"/>
        <w:numPr>
          <w:ilvl w:val="0"/>
          <w:numId w:val="41"/>
        </w:numPr>
        <w:spacing w:after="160" w:line="259" w:lineRule="auto"/>
      </w:pPr>
      <w:r>
        <w:t>Dir. Assessment position, intranet site, Assessment day, funds for PT faculty to participate</w:t>
      </w:r>
    </w:p>
    <w:p w:rsidR="00556145" w:rsidRPr="009056D4" w:rsidRDefault="00556145" w:rsidP="00556145">
      <w:pPr>
        <w:spacing w:after="160" w:line="259" w:lineRule="auto"/>
      </w:pPr>
    </w:p>
    <w:p w:rsidR="00761024" w:rsidRPr="00136F7D" w:rsidRDefault="00136F7D" w:rsidP="00136F7D">
      <w:pPr>
        <w:spacing w:after="160" w:line="259" w:lineRule="auto"/>
        <w:rPr>
          <w:color w:val="000000" w:themeColor="text1"/>
        </w:rPr>
      </w:pPr>
      <w:r>
        <w:t xml:space="preserve">3. </w:t>
      </w:r>
      <w:hyperlink r:id="rId9" w:history="1">
        <w:r w:rsidR="009056D4" w:rsidRPr="00136F7D">
          <w:rPr>
            <w:rStyle w:val="Hyperlink"/>
            <w:color w:val="auto"/>
            <w:u w:val="none"/>
          </w:rPr>
          <w:t xml:space="preserve">Improvement to </w:t>
        </w:r>
        <w:r w:rsidR="009056D4" w:rsidRPr="009737C9">
          <w:rPr>
            <w:rStyle w:val="Hyperlink"/>
          </w:rPr>
          <w:t>Assessment Forms</w:t>
        </w:r>
        <w:r w:rsidR="009056D4" w:rsidRPr="00136F7D">
          <w:rPr>
            <w:rStyle w:val="Hyperlink"/>
            <w:color w:val="auto"/>
            <w:u w:val="none"/>
          </w:rPr>
          <w:t xml:space="preserve"> for 2020-2021AY</w:t>
        </w:r>
      </w:hyperlink>
      <w:r w:rsidR="0043192B" w:rsidRPr="00136F7D">
        <w:rPr>
          <w:rStyle w:val="Hyperlink"/>
          <w:u w:val="none"/>
        </w:rPr>
        <w:t xml:space="preserve"> </w:t>
      </w:r>
      <w:r w:rsidR="0043192B">
        <w:t>(20 minutes)</w:t>
      </w:r>
      <w:r w:rsidR="006F2B4A">
        <w:t>, All</w:t>
      </w:r>
    </w:p>
    <w:p w:rsidR="00761024" w:rsidRDefault="00136F7D" w:rsidP="00136F7D">
      <w:pPr>
        <w:pStyle w:val="ListParagraph"/>
        <w:numPr>
          <w:ilvl w:val="0"/>
          <w:numId w:val="41"/>
        </w:numPr>
      </w:pPr>
      <w:r>
        <w:t>Christopher made the changes we agreed on (change to clear/unclear, fix formatting) but we still need to review.</w:t>
      </w:r>
    </w:p>
    <w:p w:rsidR="00136F7D" w:rsidRDefault="00136F7D" w:rsidP="00DC3893"/>
    <w:p w:rsidR="00136F7D" w:rsidRDefault="00136F7D" w:rsidP="00136F7D">
      <w:pPr>
        <w:pStyle w:val="ListParagraph"/>
        <w:numPr>
          <w:ilvl w:val="0"/>
          <w:numId w:val="41"/>
        </w:numPr>
      </w:pPr>
      <w:r>
        <w:t>Do we need a Feb. 14 meeting?</w:t>
      </w:r>
    </w:p>
    <w:p w:rsidR="00136F7D" w:rsidRDefault="00136F7D" w:rsidP="00136F7D">
      <w:pPr>
        <w:pStyle w:val="ListParagraph"/>
        <w:numPr>
          <w:ilvl w:val="1"/>
          <w:numId w:val="41"/>
        </w:numPr>
      </w:pPr>
      <w:r>
        <w:t>No.</w:t>
      </w:r>
    </w:p>
    <w:p w:rsidR="00136F7D" w:rsidRPr="00136F7D" w:rsidRDefault="00136F7D" w:rsidP="00136F7D">
      <w:pPr>
        <w:pStyle w:val="ListParagraph"/>
        <w:numPr>
          <w:ilvl w:val="1"/>
          <w:numId w:val="41"/>
        </w:numPr>
        <w:rPr>
          <w:color w:val="FF0000"/>
        </w:rPr>
      </w:pPr>
      <w:r w:rsidRPr="00136F7D">
        <w:rPr>
          <w:color w:val="FF0000"/>
        </w:rPr>
        <w:t xml:space="preserve">Vickery will cancel. </w:t>
      </w:r>
    </w:p>
    <w:p w:rsidR="00136F7D" w:rsidRDefault="00136F7D" w:rsidP="00136F7D">
      <w:pPr>
        <w:pStyle w:val="ListParagraph"/>
        <w:numPr>
          <w:ilvl w:val="1"/>
          <w:numId w:val="41"/>
        </w:numPr>
      </w:pPr>
      <w:r>
        <w:t>The Feb. 28 meeting will dive back into form improvements again.</w:t>
      </w:r>
    </w:p>
    <w:p w:rsidR="00FB563D" w:rsidRDefault="00FB563D" w:rsidP="00DC3893">
      <w:pPr>
        <w:rPr>
          <w:b/>
        </w:rPr>
      </w:pPr>
    </w:p>
    <w:p w:rsidR="00FB563D" w:rsidRDefault="00FB563D" w:rsidP="00DC3893">
      <w:pPr>
        <w:rPr>
          <w:b/>
        </w:rPr>
      </w:pPr>
    </w:p>
    <w:p w:rsidR="00FB563D" w:rsidRDefault="00FB563D" w:rsidP="00DC3893">
      <w:pPr>
        <w:rPr>
          <w:b/>
        </w:rPr>
      </w:pPr>
    </w:p>
    <w:p w:rsidR="00FB563D" w:rsidRDefault="00FB563D" w:rsidP="00DC3893">
      <w:pPr>
        <w:rPr>
          <w:b/>
        </w:rPr>
      </w:pPr>
    </w:p>
    <w:p w:rsidR="00DC3893" w:rsidRDefault="00DC3893" w:rsidP="00DC3893">
      <w:r w:rsidRPr="009056D4">
        <w:rPr>
          <w:b/>
        </w:rPr>
        <w:lastRenderedPageBreak/>
        <w:t xml:space="preserve">Remaining </w:t>
      </w:r>
      <w:proofErr w:type="gramStart"/>
      <w:r w:rsidRPr="009056D4">
        <w:rPr>
          <w:b/>
        </w:rPr>
        <w:t>Winter</w:t>
      </w:r>
      <w:proofErr w:type="gramEnd"/>
      <w:r w:rsidRPr="009056D4">
        <w:rPr>
          <w:b/>
        </w:rPr>
        <w:t xml:space="preserve"> term meetings:</w:t>
      </w:r>
    </w:p>
    <w:p w:rsidR="009056D4" w:rsidRDefault="009056D4" w:rsidP="006F2B4A">
      <w:pPr>
        <w:pStyle w:val="ListParagraph"/>
        <w:numPr>
          <w:ilvl w:val="0"/>
          <w:numId w:val="30"/>
        </w:numPr>
      </w:pPr>
      <w:r>
        <w:t>Feb. 28, 2020</w:t>
      </w:r>
    </w:p>
    <w:p w:rsidR="009056D4" w:rsidRDefault="009056D4" w:rsidP="006F2B4A">
      <w:pPr>
        <w:pStyle w:val="ListParagraph"/>
        <w:numPr>
          <w:ilvl w:val="0"/>
          <w:numId w:val="30"/>
        </w:numPr>
      </w:pPr>
      <w:r>
        <w:t>March 13, 2020</w:t>
      </w:r>
    </w:p>
    <w:p w:rsidR="00DC3893" w:rsidRDefault="00DC3893" w:rsidP="00DC3893"/>
    <w:p w:rsidR="009056D4" w:rsidRDefault="009056D4" w:rsidP="00DC3893"/>
    <w:p w:rsidR="00DC3893" w:rsidRPr="009056D4" w:rsidRDefault="00DC3893" w:rsidP="00DC3893">
      <w:pPr>
        <w:rPr>
          <w:b/>
          <w:color w:val="000000" w:themeColor="text1"/>
        </w:rPr>
      </w:pPr>
      <w:r w:rsidRPr="009056D4">
        <w:rPr>
          <w:b/>
          <w:color w:val="000000" w:themeColor="text1"/>
        </w:rPr>
        <w:t>Parking Lot/Future meetings:</w:t>
      </w:r>
    </w:p>
    <w:p w:rsidR="009056D4" w:rsidRDefault="009056D4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Preparing for Accreditors visit (</w:t>
      </w:r>
      <w:r w:rsidR="00B71FFE">
        <w:rPr>
          <w:color w:val="000000" w:themeColor="text1"/>
        </w:rPr>
        <w:t>April 8-10)</w:t>
      </w:r>
    </w:p>
    <w:p w:rsidR="00B71FFE" w:rsidRPr="00F1000A" w:rsidRDefault="00B71FFE" w:rsidP="00B71FFE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Further work on “Buddy” Program – ide</w:t>
      </w:r>
      <w:bookmarkStart w:id="0" w:name="_GoBack"/>
      <w:bookmarkEnd w:id="0"/>
      <w:r>
        <w:rPr>
          <w:color w:val="000000" w:themeColor="text1"/>
        </w:rPr>
        <w:t>ntifying &amp; contacting new “Buddies”</w:t>
      </w:r>
    </w:p>
    <w:p w:rsidR="00B71FFE" w:rsidRPr="00B71FFE" w:rsidRDefault="00B71FFE" w:rsidP="00E71A19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t xml:space="preserve">Committee formation: </w:t>
      </w:r>
      <w:r w:rsidRPr="00125121">
        <w:t>Lead or captain for GEGs?</w:t>
      </w:r>
    </w:p>
    <w:p w:rsidR="00DC3893" w:rsidRPr="00B71FFE" w:rsidRDefault="00B71FFE" w:rsidP="00E71A19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B71FFE">
        <w:rPr>
          <w:color w:val="000000" w:themeColor="text1"/>
        </w:rPr>
        <w:t>Cycle for GE courses offered with very little frequency</w:t>
      </w:r>
    </w:p>
    <w:p w:rsidR="00DC3893" w:rsidRPr="0050470F" w:rsidRDefault="00DC3893" w:rsidP="00DC3893">
      <w:pPr>
        <w:pStyle w:val="ListParagraph"/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C12B7C" w:rsidRPr="00C80F7A" w:rsidRDefault="00C12B7C" w:rsidP="00EC114C"/>
    <w:sectPr w:rsidR="00C12B7C" w:rsidRPr="00C80F7A" w:rsidSect="009A3CC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136F7D">
              <w:rPr>
                <w:b/>
                <w:bCs/>
                <w:noProof/>
                <w:sz w:val="16"/>
                <w:szCs w:val="16"/>
              </w:rPr>
              <w:t>3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E6C1D"/>
    <w:multiLevelType w:val="hybridMultilevel"/>
    <w:tmpl w:val="C526E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862A4"/>
    <w:multiLevelType w:val="hybridMultilevel"/>
    <w:tmpl w:val="0AD4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25E07"/>
    <w:multiLevelType w:val="hybridMultilevel"/>
    <w:tmpl w:val="D9EE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E04F0"/>
    <w:multiLevelType w:val="hybridMultilevel"/>
    <w:tmpl w:val="2C485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716B8"/>
    <w:multiLevelType w:val="hybridMultilevel"/>
    <w:tmpl w:val="C29C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9315E"/>
    <w:multiLevelType w:val="hybridMultilevel"/>
    <w:tmpl w:val="394C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D135A"/>
    <w:multiLevelType w:val="hybridMultilevel"/>
    <w:tmpl w:val="1DFC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45DA2"/>
    <w:multiLevelType w:val="hybridMultilevel"/>
    <w:tmpl w:val="C85A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10C8B"/>
    <w:multiLevelType w:val="hybridMultilevel"/>
    <w:tmpl w:val="C5EC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66D44"/>
    <w:multiLevelType w:val="hybridMultilevel"/>
    <w:tmpl w:val="5416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85FCC"/>
    <w:multiLevelType w:val="hybridMultilevel"/>
    <w:tmpl w:val="AA52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D7FD5"/>
    <w:multiLevelType w:val="hybridMultilevel"/>
    <w:tmpl w:val="C606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5"/>
  </w:num>
  <w:num w:numId="4">
    <w:abstractNumId w:val="39"/>
  </w:num>
  <w:num w:numId="5">
    <w:abstractNumId w:val="4"/>
  </w:num>
  <w:num w:numId="6">
    <w:abstractNumId w:val="37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31"/>
  </w:num>
  <w:num w:numId="12">
    <w:abstractNumId w:val="14"/>
  </w:num>
  <w:num w:numId="13">
    <w:abstractNumId w:val="20"/>
  </w:num>
  <w:num w:numId="14">
    <w:abstractNumId w:val="21"/>
  </w:num>
  <w:num w:numId="15">
    <w:abstractNumId w:val="2"/>
  </w:num>
  <w:num w:numId="16">
    <w:abstractNumId w:val="35"/>
  </w:num>
  <w:num w:numId="17">
    <w:abstractNumId w:val="19"/>
  </w:num>
  <w:num w:numId="18">
    <w:abstractNumId w:val="38"/>
  </w:num>
  <w:num w:numId="19">
    <w:abstractNumId w:val="28"/>
  </w:num>
  <w:num w:numId="20">
    <w:abstractNumId w:val="18"/>
  </w:num>
  <w:num w:numId="21">
    <w:abstractNumId w:val="29"/>
  </w:num>
  <w:num w:numId="22">
    <w:abstractNumId w:val="3"/>
  </w:num>
  <w:num w:numId="23">
    <w:abstractNumId w:val="15"/>
  </w:num>
  <w:num w:numId="24">
    <w:abstractNumId w:val="0"/>
  </w:num>
  <w:num w:numId="25">
    <w:abstractNumId w:val="30"/>
  </w:num>
  <w:num w:numId="26">
    <w:abstractNumId w:val="24"/>
  </w:num>
  <w:num w:numId="27">
    <w:abstractNumId w:val="22"/>
  </w:num>
  <w:num w:numId="28">
    <w:abstractNumId w:val="26"/>
  </w:num>
  <w:num w:numId="29">
    <w:abstractNumId w:val="34"/>
  </w:num>
  <w:num w:numId="30">
    <w:abstractNumId w:val="13"/>
  </w:num>
  <w:num w:numId="31">
    <w:abstractNumId w:val="17"/>
  </w:num>
  <w:num w:numId="32">
    <w:abstractNumId w:val="32"/>
  </w:num>
  <w:num w:numId="33">
    <w:abstractNumId w:val="27"/>
  </w:num>
  <w:num w:numId="34">
    <w:abstractNumId w:val="12"/>
  </w:num>
  <w:num w:numId="35">
    <w:abstractNumId w:val="33"/>
  </w:num>
  <w:num w:numId="36">
    <w:abstractNumId w:val="11"/>
  </w:num>
  <w:num w:numId="37">
    <w:abstractNumId w:val="40"/>
  </w:num>
  <w:num w:numId="38">
    <w:abstractNumId w:val="23"/>
  </w:num>
  <w:num w:numId="39">
    <w:abstractNumId w:val="6"/>
  </w:num>
  <w:num w:numId="40">
    <w:abstractNumId w:val="25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178F3"/>
    <w:rsid w:val="00136F7D"/>
    <w:rsid w:val="00166C72"/>
    <w:rsid w:val="0019324D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D15F2"/>
    <w:rsid w:val="002E1D79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15CF"/>
    <w:rsid w:val="003D7E9A"/>
    <w:rsid w:val="00415992"/>
    <w:rsid w:val="00426709"/>
    <w:rsid w:val="0043192B"/>
    <w:rsid w:val="004422E8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2002E"/>
    <w:rsid w:val="00556145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6F2B4A"/>
    <w:rsid w:val="0071574A"/>
    <w:rsid w:val="00716DFB"/>
    <w:rsid w:val="00727BD3"/>
    <w:rsid w:val="00744D10"/>
    <w:rsid w:val="00761024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056D4"/>
    <w:rsid w:val="00953FA3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71FFE"/>
    <w:rsid w:val="00B9399A"/>
    <w:rsid w:val="00B96DBC"/>
    <w:rsid w:val="00BB20D6"/>
    <w:rsid w:val="00BB3A5A"/>
    <w:rsid w:val="00BC13E8"/>
    <w:rsid w:val="00BC695C"/>
    <w:rsid w:val="00BE4061"/>
    <w:rsid w:val="00BF52EC"/>
    <w:rsid w:val="00BF7AD5"/>
    <w:rsid w:val="00C00D07"/>
    <w:rsid w:val="00C12B7C"/>
    <w:rsid w:val="00C44A92"/>
    <w:rsid w:val="00C51566"/>
    <w:rsid w:val="00C66630"/>
    <w:rsid w:val="00C72320"/>
    <w:rsid w:val="00C80F7A"/>
    <w:rsid w:val="00CA5375"/>
    <w:rsid w:val="00CB28FD"/>
    <w:rsid w:val="00CC48ED"/>
    <w:rsid w:val="00CE6FF6"/>
    <w:rsid w:val="00CF30D2"/>
    <w:rsid w:val="00CF6051"/>
    <w:rsid w:val="00D459E3"/>
    <w:rsid w:val="00D779D1"/>
    <w:rsid w:val="00DC3893"/>
    <w:rsid w:val="00DE48BC"/>
    <w:rsid w:val="00E20824"/>
    <w:rsid w:val="00E2692C"/>
    <w:rsid w:val="00E44180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76E3C"/>
    <w:rsid w:val="00F825C8"/>
    <w:rsid w:val="00F9636A"/>
    <w:rsid w:val="00FA531A"/>
    <w:rsid w:val="00FB0AD7"/>
    <w:rsid w:val="00FB563D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5F8C9DAC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wccu.org/wp-content/uploads/2018/03/Rubric-Evaluating-Outcomes-Assessment-Plan-and-Progres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ad.cocc.edu\domain\Group%20Folders\Assessment%20Management\Assessment%20Work%20201920\20-21%20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17680-409B-43FE-80E8-D476985E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4</cp:revision>
  <cp:lastPrinted>2015-04-14T18:24:00Z</cp:lastPrinted>
  <dcterms:created xsi:type="dcterms:W3CDTF">2020-01-31T21:53:00Z</dcterms:created>
  <dcterms:modified xsi:type="dcterms:W3CDTF">2020-02-01T01:29:00Z</dcterms:modified>
</cp:coreProperties>
</file>