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ED7AFA" w:rsidRPr="004D0146">
        <w:rPr>
          <w:b/>
          <w:sz w:val="28"/>
        </w:rPr>
        <w:t>Agenda</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825"/>
        <w:gridCol w:w="2959"/>
        <w:gridCol w:w="1592"/>
        <w:gridCol w:w="2923"/>
      </w:tblGrid>
      <w:tr w:rsidR="001E4BA4" w:rsidTr="0071574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5771E2" w:rsidP="005857F2">
            <w:r>
              <w:t>10/26/2018</w:t>
            </w:r>
          </w:p>
        </w:tc>
        <w:tc>
          <w:tcPr>
            <w:tcW w:w="829" w:type="pct"/>
            <w:shd w:val="clear" w:color="auto" w:fill="E36C0A" w:themeFill="accent6" w:themeFillShade="BF"/>
          </w:tcPr>
          <w:p w:rsidR="001E4BA4" w:rsidRPr="001E4BA4" w:rsidRDefault="001E4BA4">
            <w:pPr>
              <w:rPr>
                <w:b/>
              </w:rPr>
            </w:pPr>
            <w:r w:rsidRPr="001E4BA4">
              <w:rPr>
                <w:b/>
              </w:rPr>
              <w:t>Facilitator</w:t>
            </w:r>
            <w:r w:rsidR="009A3B2B">
              <w:rPr>
                <w:b/>
              </w:rPr>
              <w:t>(s)</w:t>
            </w:r>
            <w:r w:rsidRPr="001E4BA4">
              <w:rPr>
                <w:b/>
              </w:rPr>
              <w:t>:</w:t>
            </w:r>
          </w:p>
        </w:tc>
        <w:tc>
          <w:tcPr>
            <w:tcW w:w="1831" w:type="pct"/>
          </w:tcPr>
          <w:p w:rsidR="001E4BA4" w:rsidRPr="005771E2" w:rsidRDefault="005771E2" w:rsidP="000F2D64">
            <w:r w:rsidRPr="005771E2">
              <w:t>Sarah</w:t>
            </w:r>
          </w:p>
        </w:tc>
      </w:tr>
      <w:tr w:rsidR="001E4BA4" w:rsidTr="0071574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5771E2">
            <w:r>
              <w:t>2:30-3:30</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5771E2">
            <w:r>
              <w:t>Vickery</w:t>
            </w:r>
          </w:p>
        </w:tc>
      </w:tr>
      <w:tr w:rsidR="001E4BA4" w:rsidTr="0071574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5771E2">
            <w:r>
              <w:t>HCC 301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5771E2">
            <w:r>
              <w:t>Sarah</w:t>
            </w:r>
          </w:p>
        </w:tc>
      </w:tr>
    </w:tbl>
    <w:p w:rsidR="001E4BA4" w:rsidRDefault="001E4BA4"/>
    <w:tbl>
      <w:tblPr>
        <w:tblStyle w:val="TableGrid"/>
        <w:tblW w:w="4440" w:type="pct"/>
        <w:tblLook w:val="04A0" w:firstRow="1" w:lastRow="0" w:firstColumn="1" w:lastColumn="0" w:noHBand="0" w:noVBand="1"/>
      </w:tblPr>
      <w:tblGrid>
        <w:gridCol w:w="1305"/>
        <w:gridCol w:w="2259"/>
        <w:gridCol w:w="358"/>
        <w:gridCol w:w="1543"/>
        <w:gridCol w:w="358"/>
        <w:gridCol w:w="2217"/>
        <w:gridCol w:w="263"/>
      </w:tblGrid>
      <w:tr w:rsidR="00426709" w:rsidTr="006C1F89">
        <w:tc>
          <w:tcPr>
            <w:tcW w:w="756" w:type="pct"/>
            <w:vMerge w:val="restart"/>
            <w:shd w:val="clear" w:color="auto" w:fill="E36C0A" w:themeFill="accent6" w:themeFillShade="BF"/>
          </w:tcPr>
          <w:p w:rsidR="00426709" w:rsidRDefault="00426709" w:rsidP="00E2692C">
            <w:r w:rsidRPr="001E4BA4">
              <w:rPr>
                <w:b/>
              </w:rPr>
              <w:t>Attendees:</w:t>
            </w:r>
          </w:p>
        </w:tc>
        <w:tc>
          <w:tcPr>
            <w:tcW w:w="1366" w:type="pct"/>
            <w:shd w:val="clear" w:color="auto" w:fill="auto"/>
          </w:tcPr>
          <w:p w:rsidR="00426709" w:rsidRDefault="00AD5172" w:rsidP="00E2692C">
            <w:r>
              <w:t>Christopher Hazlett</w:t>
            </w:r>
          </w:p>
        </w:tc>
        <w:tc>
          <w:tcPr>
            <w:tcW w:w="218" w:type="pct"/>
            <w:shd w:val="clear" w:color="auto" w:fill="auto"/>
          </w:tcPr>
          <w:p w:rsidR="00426709" w:rsidRDefault="00F17EF6" w:rsidP="00E2692C">
            <w:r>
              <w:t>X</w:t>
            </w:r>
          </w:p>
        </w:tc>
        <w:tc>
          <w:tcPr>
            <w:tcW w:w="937" w:type="pct"/>
            <w:shd w:val="clear" w:color="auto" w:fill="auto"/>
          </w:tcPr>
          <w:p w:rsidR="00426709" w:rsidRDefault="00AD5172" w:rsidP="00AD5172">
            <w:r>
              <w:t xml:space="preserve">Mindy Williams </w:t>
            </w:r>
          </w:p>
        </w:tc>
        <w:tc>
          <w:tcPr>
            <w:tcW w:w="218" w:type="pct"/>
            <w:shd w:val="clear" w:color="auto" w:fill="auto"/>
          </w:tcPr>
          <w:p w:rsidR="00426709" w:rsidRDefault="00F17EF6" w:rsidP="00E2692C">
            <w:r>
              <w:t>X</w:t>
            </w:r>
          </w:p>
        </w:tc>
        <w:tc>
          <w:tcPr>
            <w:tcW w:w="1342" w:type="pct"/>
            <w:shd w:val="clear" w:color="auto" w:fill="auto"/>
          </w:tcPr>
          <w:p w:rsidR="00426709" w:rsidRPr="00465A68" w:rsidRDefault="00426709" w:rsidP="00E2692C">
            <w:pPr>
              <w:rPr>
                <w:b/>
              </w:rPr>
            </w:pPr>
            <w:r>
              <w:rPr>
                <w:b/>
              </w:rPr>
              <w:t>Guests:</w:t>
            </w:r>
          </w:p>
        </w:tc>
        <w:tc>
          <w:tcPr>
            <w:tcW w:w="163" w:type="pct"/>
            <w:shd w:val="clear" w:color="auto" w:fill="auto"/>
          </w:tcPr>
          <w:p w:rsidR="00426709" w:rsidRDefault="00426709" w:rsidP="00E2692C"/>
        </w:tc>
      </w:tr>
      <w:tr w:rsidR="00426709" w:rsidTr="006C1F89">
        <w:tc>
          <w:tcPr>
            <w:tcW w:w="756" w:type="pct"/>
            <w:vMerge/>
            <w:shd w:val="clear" w:color="auto" w:fill="E36C0A" w:themeFill="accent6" w:themeFillShade="BF"/>
          </w:tcPr>
          <w:p w:rsidR="00426709" w:rsidRDefault="00426709" w:rsidP="00E2692C"/>
        </w:tc>
        <w:tc>
          <w:tcPr>
            <w:tcW w:w="1366" w:type="pct"/>
          </w:tcPr>
          <w:p w:rsidR="00426709" w:rsidRDefault="00AD5172" w:rsidP="00E2692C">
            <w:r>
              <w:t>Jessie Russell</w:t>
            </w:r>
          </w:p>
        </w:tc>
        <w:tc>
          <w:tcPr>
            <w:tcW w:w="218" w:type="pct"/>
          </w:tcPr>
          <w:p w:rsidR="00426709" w:rsidRDefault="00F17EF6" w:rsidP="00E2692C">
            <w:r>
              <w:t>X</w:t>
            </w:r>
          </w:p>
        </w:tc>
        <w:tc>
          <w:tcPr>
            <w:tcW w:w="937" w:type="pct"/>
          </w:tcPr>
          <w:p w:rsidR="00426709" w:rsidRDefault="00AD5172" w:rsidP="00E2692C">
            <w:r>
              <w:t>Sarah Fuller</w:t>
            </w:r>
          </w:p>
        </w:tc>
        <w:tc>
          <w:tcPr>
            <w:tcW w:w="218" w:type="pct"/>
          </w:tcPr>
          <w:p w:rsidR="00426709" w:rsidRDefault="00F17EF6" w:rsidP="00E2692C">
            <w:r>
              <w:t>X</w:t>
            </w:r>
          </w:p>
        </w:tc>
        <w:tc>
          <w:tcPr>
            <w:tcW w:w="1342" w:type="pct"/>
          </w:tcPr>
          <w:p w:rsidR="00426709" w:rsidRDefault="009B4598" w:rsidP="00E2692C">
            <w:r>
              <w:t>Betsy Julian</w:t>
            </w:r>
          </w:p>
        </w:tc>
        <w:tc>
          <w:tcPr>
            <w:tcW w:w="163" w:type="pct"/>
          </w:tcPr>
          <w:p w:rsidR="00426709" w:rsidRDefault="00426709" w:rsidP="00E2692C"/>
        </w:tc>
      </w:tr>
      <w:tr w:rsidR="00426709" w:rsidTr="006C1F89">
        <w:trPr>
          <w:trHeight w:val="287"/>
        </w:trPr>
        <w:tc>
          <w:tcPr>
            <w:tcW w:w="756" w:type="pct"/>
            <w:vMerge/>
            <w:shd w:val="clear" w:color="auto" w:fill="E36C0A" w:themeFill="accent6" w:themeFillShade="BF"/>
          </w:tcPr>
          <w:p w:rsidR="00426709" w:rsidRDefault="00426709" w:rsidP="00E2692C"/>
        </w:tc>
        <w:tc>
          <w:tcPr>
            <w:tcW w:w="1366" w:type="pct"/>
          </w:tcPr>
          <w:p w:rsidR="00426709" w:rsidRDefault="00AD5172" w:rsidP="00E2692C">
            <w:r>
              <w:t>Kirsten Hostetler</w:t>
            </w:r>
          </w:p>
        </w:tc>
        <w:tc>
          <w:tcPr>
            <w:tcW w:w="218" w:type="pct"/>
          </w:tcPr>
          <w:p w:rsidR="00426709" w:rsidRDefault="00F17EF6" w:rsidP="00E2692C">
            <w:r>
              <w:t>O</w:t>
            </w:r>
          </w:p>
        </w:tc>
        <w:tc>
          <w:tcPr>
            <w:tcW w:w="937" w:type="pct"/>
          </w:tcPr>
          <w:p w:rsidR="00426709" w:rsidRDefault="00AD5172" w:rsidP="00E2692C">
            <w:r>
              <w:t>Vickery Viles</w:t>
            </w:r>
          </w:p>
        </w:tc>
        <w:tc>
          <w:tcPr>
            <w:tcW w:w="218" w:type="pct"/>
          </w:tcPr>
          <w:p w:rsidR="00426709" w:rsidRDefault="00F17EF6" w:rsidP="00E2692C">
            <w:r>
              <w:t>X</w:t>
            </w:r>
          </w:p>
        </w:tc>
        <w:tc>
          <w:tcPr>
            <w:tcW w:w="1342" w:type="pct"/>
          </w:tcPr>
          <w:p w:rsidR="00426709" w:rsidRPr="00465A68" w:rsidRDefault="00426709" w:rsidP="00E2692C"/>
        </w:tc>
        <w:tc>
          <w:tcPr>
            <w:tcW w:w="163" w:type="pct"/>
          </w:tcPr>
          <w:p w:rsidR="00426709" w:rsidRDefault="00426709" w:rsidP="00E2692C">
            <w:pPr>
              <w:rPr>
                <w:b/>
              </w:rPr>
            </w:pPr>
          </w:p>
        </w:tc>
      </w:tr>
      <w:tr w:rsidR="00426709" w:rsidTr="006C1F89">
        <w:tc>
          <w:tcPr>
            <w:tcW w:w="756" w:type="pct"/>
            <w:vMerge/>
            <w:shd w:val="clear" w:color="auto" w:fill="E36C0A" w:themeFill="accent6" w:themeFillShade="BF"/>
          </w:tcPr>
          <w:p w:rsidR="00426709" w:rsidRDefault="00426709" w:rsidP="00E2692C"/>
        </w:tc>
        <w:tc>
          <w:tcPr>
            <w:tcW w:w="1366" w:type="pct"/>
          </w:tcPr>
          <w:p w:rsidR="00426709" w:rsidRDefault="00AD5172" w:rsidP="00E2692C">
            <w:r>
              <w:t>Michele Decker</w:t>
            </w:r>
          </w:p>
        </w:tc>
        <w:tc>
          <w:tcPr>
            <w:tcW w:w="218" w:type="pct"/>
          </w:tcPr>
          <w:p w:rsidR="00426709" w:rsidRDefault="00F17EF6" w:rsidP="00E2692C">
            <w:r>
              <w:t>X</w:t>
            </w:r>
          </w:p>
        </w:tc>
        <w:tc>
          <w:tcPr>
            <w:tcW w:w="937" w:type="pct"/>
          </w:tcPr>
          <w:p w:rsidR="00426709" w:rsidRPr="006366BC" w:rsidRDefault="00AD5172" w:rsidP="00E2692C">
            <w:r>
              <w:t>Wayne Yeatman</w:t>
            </w:r>
          </w:p>
        </w:tc>
        <w:tc>
          <w:tcPr>
            <w:tcW w:w="218" w:type="pct"/>
          </w:tcPr>
          <w:p w:rsidR="00426709" w:rsidRDefault="00F17EF6" w:rsidP="00E2692C">
            <w:r>
              <w:t>O</w:t>
            </w:r>
          </w:p>
        </w:tc>
        <w:tc>
          <w:tcPr>
            <w:tcW w:w="1342" w:type="pct"/>
          </w:tcPr>
          <w:p w:rsidR="00426709" w:rsidRDefault="00426709" w:rsidP="00E2692C"/>
        </w:tc>
        <w:tc>
          <w:tcPr>
            <w:tcW w:w="163" w:type="pct"/>
          </w:tcPr>
          <w:p w:rsidR="00426709" w:rsidRDefault="00426709" w:rsidP="00E2692C"/>
        </w:tc>
      </w:tr>
    </w:tbl>
    <w:p w:rsidR="001E4BA4" w:rsidRDefault="001E4BA4"/>
    <w:p w:rsidR="00C12B7C" w:rsidRDefault="00C12B7C" w:rsidP="0050470F">
      <w:r>
        <w:t xml:space="preserve">Agenda </w:t>
      </w:r>
    </w:p>
    <w:p w:rsidR="00C12B7C" w:rsidRDefault="00C12B7C" w:rsidP="0050470F">
      <w:r>
        <w:t xml:space="preserve">(Action items and person responsible in </w:t>
      </w:r>
      <w:r w:rsidRPr="0050470F">
        <w:rPr>
          <w:color w:val="FF0000"/>
        </w:rPr>
        <w:t>red</w:t>
      </w:r>
      <w:r>
        <w:t>)</w:t>
      </w:r>
    </w:p>
    <w:p w:rsidR="006427E3" w:rsidRDefault="006427E3" w:rsidP="0050470F"/>
    <w:p w:rsidR="006427E3" w:rsidRDefault="006427E3" w:rsidP="0050470F">
      <w:pPr>
        <w:pStyle w:val="ListParagraph"/>
        <w:numPr>
          <w:ilvl w:val="0"/>
          <w:numId w:val="28"/>
        </w:numPr>
      </w:pPr>
      <w:r>
        <w:t xml:space="preserve">Call to order (5 minutes), </w:t>
      </w:r>
      <w:r w:rsidRPr="005771E2">
        <w:rPr>
          <w:color w:val="FF0000"/>
        </w:rPr>
        <w:t>Chair</w:t>
      </w:r>
    </w:p>
    <w:p w:rsidR="006427E3" w:rsidRDefault="00F17EF6" w:rsidP="0050470F">
      <w:pPr>
        <w:pStyle w:val="ListParagraph"/>
        <w:numPr>
          <w:ilvl w:val="1"/>
          <w:numId w:val="28"/>
        </w:numPr>
      </w:pPr>
      <w:r>
        <w:t>P</w:t>
      </w:r>
      <w:r w:rsidR="006427E3">
        <w:t>revious meeting notes,</w:t>
      </w:r>
      <w:r>
        <w:t xml:space="preserve"> approved</w:t>
      </w:r>
    </w:p>
    <w:p w:rsidR="005771E2" w:rsidRDefault="005771E2" w:rsidP="005771E2">
      <w:pPr>
        <w:pStyle w:val="ListParagraph"/>
        <w:ind w:left="1440"/>
      </w:pPr>
    </w:p>
    <w:p w:rsidR="00AD5172" w:rsidRPr="00F17EF6" w:rsidRDefault="005771E2" w:rsidP="0050470F">
      <w:pPr>
        <w:pStyle w:val="ListParagraph"/>
        <w:numPr>
          <w:ilvl w:val="0"/>
          <w:numId w:val="28"/>
        </w:numPr>
      </w:pPr>
      <w:r>
        <w:t xml:space="preserve">Norming of Feedback Rubrics – review the homework </w:t>
      </w:r>
      <w:r w:rsidRPr="005771E2">
        <w:rPr>
          <w:color w:val="FF0000"/>
        </w:rPr>
        <w:t>(all)</w:t>
      </w:r>
    </w:p>
    <w:p w:rsidR="00F17EF6" w:rsidRDefault="00F17EF6" w:rsidP="00F17EF6">
      <w:pPr>
        <w:pStyle w:val="ListParagraph"/>
        <w:numPr>
          <w:ilvl w:val="0"/>
          <w:numId w:val="31"/>
        </w:numPr>
      </w:pPr>
      <w:r>
        <w:t>Sarah c</w:t>
      </w:r>
      <w:r>
        <w:t xml:space="preserve">reated </w:t>
      </w:r>
      <w:r>
        <w:t>“</w:t>
      </w:r>
      <w:r>
        <w:t>LOA Review Workplace</w:t>
      </w:r>
      <w:r>
        <w:t>”</w:t>
      </w:r>
      <w:r>
        <w:t xml:space="preserve"> folder in 1819 Reports</w:t>
      </w:r>
      <w:r>
        <w:t xml:space="preserve"> folder for materials to be stored while we work on them (this worked well last year). </w:t>
      </w:r>
    </w:p>
    <w:p w:rsidR="00F17EF6" w:rsidRDefault="00F17EF6" w:rsidP="00F17EF6">
      <w:pPr>
        <w:pStyle w:val="ListParagraph"/>
        <w:numPr>
          <w:ilvl w:val="0"/>
          <w:numId w:val="31"/>
        </w:numPr>
      </w:pPr>
      <w:r w:rsidRPr="00F17EF6">
        <w:t xml:space="preserve">Discussion of form and contact people. Do we need this here? </w:t>
      </w:r>
      <w:r>
        <w:t xml:space="preserve">It would be helpful if faculty listed </w:t>
      </w:r>
      <w:proofErr w:type="gramStart"/>
      <w:r>
        <w:t>all the</w:t>
      </w:r>
      <w:proofErr w:type="gramEnd"/>
      <w:r>
        <w:t xml:space="preserve"> faculty whose s</w:t>
      </w:r>
      <w:r>
        <w:t>ections are part of the project and we don’t always see this.</w:t>
      </w:r>
    </w:p>
    <w:p w:rsidR="00F17EF6" w:rsidRDefault="00F17EF6" w:rsidP="00F17EF6">
      <w:pPr>
        <w:ind w:left="360"/>
      </w:pPr>
    </w:p>
    <w:p w:rsidR="00F17EF6" w:rsidRDefault="00F17EF6" w:rsidP="00F17EF6">
      <w:pPr>
        <w:pStyle w:val="ListParagraph"/>
        <w:ind w:left="1080"/>
      </w:pPr>
    </w:p>
    <w:p w:rsidR="00F17EF6" w:rsidRDefault="00F17EF6" w:rsidP="00F17EF6">
      <w:pPr>
        <w:spacing w:after="160" w:line="252" w:lineRule="auto"/>
        <w:ind w:left="720"/>
      </w:pPr>
      <w:r>
        <w:t>Discussion of three reports</w:t>
      </w:r>
    </w:p>
    <w:p w:rsidR="00F17EF6" w:rsidRPr="00F17EF6" w:rsidRDefault="00F17EF6" w:rsidP="00F17EF6">
      <w:pPr>
        <w:pStyle w:val="ListParagraph"/>
        <w:numPr>
          <w:ilvl w:val="0"/>
          <w:numId w:val="31"/>
        </w:numPr>
      </w:pPr>
      <w:r w:rsidRPr="00F17EF6">
        <w:t>If the outcome is compound, should the project assess each subsection?</w:t>
      </w:r>
    </w:p>
    <w:p w:rsidR="00F17EF6" w:rsidRPr="00F17EF6" w:rsidRDefault="00F17EF6" w:rsidP="00F17EF6">
      <w:pPr>
        <w:pStyle w:val="ListParagraph"/>
        <w:numPr>
          <w:ilvl w:val="1"/>
          <w:numId w:val="31"/>
        </w:numPr>
      </w:pPr>
      <w:r w:rsidRPr="00F17EF6">
        <w:t>Ideally, yes.</w:t>
      </w:r>
    </w:p>
    <w:p w:rsidR="00F17EF6" w:rsidRPr="00F17EF6" w:rsidRDefault="00F17EF6" w:rsidP="00F17EF6">
      <w:pPr>
        <w:pStyle w:val="ListParagraph"/>
        <w:numPr>
          <w:ilvl w:val="1"/>
          <w:numId w:val="31"/>
        </w:numPr>
      </w:pPr>
      <w:r w:rsidRPr="00F17EF6">
        <w:t xml:space="preserve">However, we </w:t>
      </w:r>
      <w:proofErr w:type="gramStart"/>
      <w:r w:rsidRPr="00F17EF6">
        <w:t>don’t</w:t>
      </w:r>
      <w:proofErr w:type="gramEnd"/>
      <w:r w:rsidRPr="00F17EF6">
        <w:t xml:space="preserve"> have that level of alignment across the college.</w:t>
      </w:r>
    </w:p>
    <w:p w:rsidR="00F17EF6" w:rsidRPr="00F17EF6" w:rsidRDefault="00F17EF6" w:rsidP="00F17EF6">
      <w:pPr>
        <w:pStyle w:val="ListParagraph"/>
        <w:numPr>
          <w:ilvl w:val="1"/>
          <w:numId w:val="31"/>
        </w:numPr>
      </w:pPr>
      <w:r w:rsidRPr="00F17EF6">
        <w:t xml:space="preserve">In GE, the outcomes are frequently compound but we </w:t>
      </w:r>
      <w:proofErr w:type="gramStart"/>
      <w:r w:rsidRPr="00F17EF6">
        <w:t>can’t</w:t>
      </w:r>
      <w:proofErr w:type="gramEnd"/>
      <w:r w:rsidRPr="00F17EF6">
        <w:t xml:space="preserve"> yet change them.</w:t>
      </w:r>
    </w:p>
    <w:p w:rsidR="00F17EF6" w:rsidRPr="00F17EF6" w:rsidRDefault="00F17EF6" w:rsidP="00F17EF6">
      <w:pPr>
        <w:pStyle w:val="ListParagraph"/>
        <w:numPr>
          <w:ilvl w:val="1"/>
          <w:numId w:val="31"/>
        </w:numPr>
      </w:pPr>
      <w:r w:rsidRPr="00F17EF6">
        <w:t xml:space="preserve">In CTE, they wrote the outcomes so in theory they should measure the subsections. </w:t>
      </w:r>
    </w:p>
    <w:p w:rsidR="00F17EF6" w:rsidRPr="00F17EF6" w:rsidRDefault="00F17EF6" w:rsidP="00F17EF6">
      <w:pPr>
        <w:pStyle w:val="ListParagraph"/>
        <w:numPr>
          <w:ilvl w:val="0"/>
          <w:numId w:val="31"/>
        </w:numPr>
      </w:pPr>
      <w:r w:rsidRPr="00F17EF6">
        <w:t>Should folks from other disciplines be included in the analysis discussion of GE projects to be more “inclusive” (Should forestry bring in folks from science)?</w:t>
      </w:r>
    </w:p>
    <w:p w:rsidR="00F17EF6" w:rsidRPr="00F17EF6" w:rsidRDefault="00F17EF6" w:rsidP="00F17EF6">
      <w:pPr>
        <w:pStyle w:val="ListParagraph"/>
        <w:numPr>
          <w:ilvl w:val="1"/>
          <w:numId w:val="31"/>
        </w:numPr>
      </w:pPr>
      <w:r w:rsidRPr="00F17EF6">
        <w:t xml:space="preserve">It is an option but </w:t>
      </w:r>
      <w:proofErr w:type="gramStart"/>
      <w:r w:rsidRPr="00F17EF6">
        <w:t>hasn’t</w:t>
      </w:r>
      <w:proofErr w:type="gramEnd"/>
      <w:r w:rsidRPr="00F17EF6">
        <w:t xml:space="preserve"> been our practice. </w:t>
      </w:r>
      <w:proofErr w:type="gramStart"/>
      <w:r w:rsidRPr="00F17EF6">
        <w:t>The should</w:t>
      </w:r>
      <w:proofErr w:type="gramEnd"/>
      <w:r w:rsidRPr="00F17EF6">
        <w:t xml:space="preserve"> come together with a group of their discipline when that is an option.</w:t>
      </w:r>
    </w:p>
    <w:p w:rsidR="00F17EF6" w:rsidRPr="00F17EF6" w:rsidRDefault="00F17EF6" w:rsidP="00F17EF6">
      <w:pPr>
        <w:pStyle w:val="ListParagraph"/>
        <w:numPr>
          <w:ilvl w:val="1"/>
          <w:numId w:val="31"/>
        </w:numPr>
      </w:pPr>
      <w:r w:rsidRPr="00F17EF6">
        <w:t>This could be awkward for someone not familiar with the discipline.</w:t>
      </w:r>
    </w:p>
    <w:p w:rsidR="00F17EF6" w:rsidRDefault="00F17EF6" w:rsidP="00F17EF6">
      <w:pPr>
        <w:pStyle w:val="ListParagraph"/>
        <w:numPr>
          <w:ilvl w:val="1"/>
          <w:numId w:val="31"/>
        </w:numPr>
      </w:pPr>
      <w:r w:rsidRPr="00F17EF6">
        <w:t>If they did, this would be an option for college-wide assessment analysis.</w:t>
      </w:r>
    </w:p>
    <w:p w:rsidR="00F17EF6" w:rsidRDefault="00F17EF6" w:rsidP="00F17EF6">
      <w:pPr>
        <w:pStyle w:val="ListParagraph"/>
        <w:numPr>
          <w:ilvl w:val="0"/>
          <w:numId w:val="31"/>
        </w:numPr>
      </w:pPr>
      <w:r>
        <w:t>HUM 256 is a great example of an assessment which leads to options for improvement</w:t>
      </w:r>
    </w:p>
    <w:p w:rsidR="00F17EF6" w:rsidRDefault="00F17EF6" w:rsidP="00F17EF6">
      <w:pPr>
        <w:pStyle w:val="ListParagraph"/>
        <w:numPr>
          <w:ilvl w:val="1"/>
          <w:numId w:val="31"/>
        </w:numPr>
      </w:pPr>
      <w:r>
        <w:t>Result is a very authentic assessment</w:t>
      </w:r>
    </w:p>
    <w:p w:rsidR="00F17EF6" w:rsidRDefault="00F17EF6" w:rsidP="00F17EF6">
      <w:pPr>
        <w:pStyle w:val="ListParagraph"/>
        <w:numPr>
          <w:ilvl w:val="0"/>
          <w:numId w:val="31"/>
        </w:numPr>
      </w:pPr>
      <w:r>
        <w:t>Closing the Loop issue in HUM 256 (not offered with frequency)</w:t>
      </w:r>
    </w:p>
    <w:p w:rsidR="00F17EF6" w:rsidRDefault="00F17EF6" w:rsidP="00F17EF6">
      <w:pPr>
        <w:pStyle w:val="ListParagraph"/>
        <w:numPr>
          <w:ilvl w:val="1"/>
          <w:numId w:val="31"/>
        </w:numPr>
      </w:pPr>
      <w:r>
        <w:t>Report was well done, addressed the issue</w:t>
      </w:r>
    </w:p>
    <w:p w:rsidR="00F17EF6" w:rsidRDefault="00F17EF6" w:rsidP="00F17EF6">
      <w:pPr>
        <w:pStyle w:val="ListParagraph"/>
        <w:numPr>
          <w:ilvl w:val="0"/>
          <w:numId w:val="31"/>
        </w:numPr>
      </w:pPr>
      <w:r>
        <w:t>Discussion of Analyze rubric</w:t>
      </w:r>
    </w:p>
    <w:p w:rsidR="00F17EF6" w:rsidRDefault="00F17EF6" w:rsidP="00F17EF6">
      <w:pPr>
        <w:pStyle w:val="ListParagraph"/>
        <w:numPr>
          <w:ilvl w:val="1"/>
          <w:numId w:val="31"/>
        </w:numPr>
      </w:pPr>
      <w:r>
        <w:t>Changed 2.2 from “Analysis is comprehensive across the data”</w:t>
      </w:r>
    </w:p>
    <w:p w:rsidR="00F17EF6" w:rsidRDefault="00F17EF6" w:rsidP="00F17EF6">
      <w:pPr>
        <w:pStyle w:val="ListParagraph"/>
        <w:numPr>
          <w:ilvl w:val="0"/>
          <w:numId w:val="31"/>
        </w:numPr>
      </w:pPr>
      <w:r>
        <w:t>Discussion of a report that answered some of our questions but not where we expected to see the information</w:t>
      </w:r>
    </w:p>
    <w:p w:rsidR="00921081" w:rsidRDefault="00921081" w:rsidP="00F17EF6">
      <w:pPr>
        <w:pStyle w:val="ListParagraph"/>
        <w:numPr>
          <w:ilvl w:val="1"/>
          <w:numId w:val="31"/>
        </w:numPr>
      </w:pPr>
      <w:r>
        <w:t>Description info in the abstract (too much detail) or summary not evident in the abstract but you can piece together from other parts of the form (not enough)</w:t>
      </w:r>
    </w:p>
    <w:p w:rsidR="00F17EF6" w:rsidRDefault="00F17EF6" w:rsidP="00F17EF6">
      <w:pPr>
        <w:pStyle w:val="ListParagraph"/>
        <w:numPr>
          <w:ilvl w:val="1"/>
          <w:numId w:val="31"/>
        </w:numPr>
      </w:pPr>
      <w:r>
        <w:lastRenderedPageBreak/>
        <w:t>The rubric should note yes if it was evident somewhere, but OK to note in the feedback that the question did not provide the answer but it was located elsewhere, or that you are extrapolating</w:t>
      </w:r>
    </w:p>
    <w:p w:rsidR="00F17EF6" w:rsidRDefault="00F17EF6" w:rsidP="00F17EF6">
      <w:pPr>
        <w:pStyle w:val="ListParagraph"/>
        <w:numPr>
          <w:ilvl w:val="0"/>
          <w:numId w:val="31"/>
        </w:numPr>
      </w:pPr>
      <w:r>
        <w:t>Kirsten could not attend today but sent her rubrics</w:t>
      </w:r>
    </w:p>
    <w:p w:rsidR="00F17EF6" w:rsidRDefault="00F17EF6" w:rsidP="00F17EF6">
      <w:pPr>
        <w:pStyle w:val="ListParagraph"/>
        <w:numPr>
          <w:ilvl w:val="1"/>
          <w:numId w:val="31"/>
        </w:numPr>
      </w:pPr>
      <w:r>
        <w:t>They are very much in line with others’ comments and approach.</w:t>
      </w:r>
    </w:p>
    <w:p w:rsidR="00921081" w:rsidRDefault="00921081" w:rsidP="00921081">
      <w:pPr>
        <w:pStyle w:val="ListParagraph"/>
        <w:numPr>
          <w:ilvl w:val="0"/>
          <w:numId w:val="31"/>
        </w:numPr>
      </w:pPr>
      <w:r>
        <w:t>Overall, projects continue to get better each year. Yay!</w:t>
      </w:r>
    </w:p>
    <w:p w:rsidR="00921081" w:rsidRPr="00F17EF6" w:rsidRDefault="00921081" w:rsidP="00921081"/>
    <w:p w:rsidR="00F17EF6" w:rsidRDefault="00F17EF6" w:rsidP="00F17EF6">
      <w:pPr>
        <w:ind w:left="720"/>
      </w:pPr>
      <w:r>
        <w:t>*Improvement, notes for future work on forms—</w:t>
      </w:r>
    </w:p>
    <w:p w:rsidR="00F17EF6" w:rsidRDefault="00F17EF6" w:rsidP="00F17EF6">
      <w:pPr>
        <w:pStyle w:val="ListParagraph"/>
        <w:numPr>
          <w:ilvl w:val="0"/>
          <w:numId w:val="31"/>
        </w:numPr>
      </w:pPr>
      <w:r>
        <w:t>Change form to list all faculty participating followed by contact</w:t>
      </w:r>
    </w:p>
    <w:p w:rsidR="00F17EF6" w:rsidRDefault="00F17EF6" w:rsidP="00F17EF6">
      <w:pPr>
        <w:pStyle w:val="ListParagraph"/>
        <w:numPr>
          <w:ilvl w:val="0"/>
          <w:numId w:val="31"/>
        </w:numPr>
      </w:pPr>
      <w:r>
        <w:t>Do we have a place to list all the sections—list how many sections there are, then how many are being assessed</w:t>
      </w:r>
    </w:p>
    <w:p w:rsidR="00F17EF6" w:rsidRDefault="00F17EF6" w:rsidP="00F17EF6">
      <w:pPr>
        <w:pStyle w:val="ListParagraph"/>
        <w:numPr>
          <w:ilvl w:val="0"/>
          <w:numId w:val="31"/>
        </w:numPr>
      </w:pPr>
      <w:r>
        <w:t>Abstract and description are still somewhat redundant and problematic, look at for next form edit.</w:t>
      </w:r>
    </w:p>
    <w:p w:rsidR="00921081" w:rsidRDefault="00921081" w:rsidP="00921081">
      <w:pPr>
        <w:ind w:left="720"/>
      </w:pPr>
      <w:r>
        <w:t xml:space="preserve">*Improvement, notes for future work on </w:t>
      </w:r>
      <w:r>
        <w:t>process</w:t>
      </w:r>
      <w:r>
        <w:t>—</w:t>
      </w:r>
    </w:p>
    <w:p w:rsidR="00921081" w:rsidRDefault="00921081" w:rsidP="00921081">
      <w:pPr>
        <w:pStyle w:val="ListParagraph"/>
        <w:numPr>
          <w:ilvl w:val="0"/>
          <w:numId w:val="31"/>
        </w:numPr>
      </w:pPr>
      <w:proofErr w:type="gramStart"/>
      <w:r>
        <w:t>Provide just in time feedback on assessment day?</w:t>
      </w:r>
      <w:proofErr w:type="gramEnd"/>
    </w:p>
    <w:p w:rsidR="00921081" w:rsidRDefault="00921081" w:rsidP="00921081">
      <w:pPr>
        <w:pStyle w:val="ListParagraph"/>
        <w:numPr>
          <w:ilvl w:val="0"/>
          <w:numId w:val="31"/>
        </w:numPr>
      </w:pPr>
      <w:r>
        <w:t>Provide drop in assistance between assessment day and Nov. 1</w:t>
      </w:r>
    </w:p>
    <w:p w:rsidR="00921081" w:rsidRDefault="00921081" w:rsidP="00921081">
      <w:pPr>
        <w:pStyle w:val="ListParagraph"/>
        <w:numPr>
          <w:ilvl w:val="0"/>
          <w:numId w:val="31"/>
        </w:numPr>
      </w:pPr>
      <w:r>
        <w:t>Some found a faculty assessment coordinator very helpful</w:t>
      </w:r>
    </w:p>
    <w:p w:rsidR="00F17EF6" w:rsidRDefault="00F17EF6" w:rsidP="00F17EF6">
      <w:pPr>
        <w:ind w:left="720"/>
      </w:pPr>
    </w:p>
    <w:p w:rsidR="00F17EF6" w:rsidRDefault="00921081" w:rsidP="00F17EF6">
      <w:pPr>
        <w:ind w:left="720"/>
      </w:pPr>
      <w:r>
        <w:t xml:space="preserve">Summary </w:t>
      </w:r>
      <w:r w:rsidR="00F17EF6">
        <w:t>Notes on norms for writing feedback:</w:t>
      </w:r>
    </w:p>
    <w:p w:rsidR="00F17EF6" w:rsidRPr="00F17EF6" w:rsidRDefault="00F17EF6" w:rsidP="00F17EF6">
      <w:pPr>
        <w:pStyle w:val="ListParagraph"/>
        <w:numPr>
          <w:ilvl w:val="0"/>
          <w:numId w:val="31"/>
        </w:numPr>
      </w:pPr>
      <w:r>
        <w:t xml:space="preserve">When we write feedback, make sure we recognize where the form </w:t>
      </w:r>
      <w:proofErr w:type="gramStart"/>
      <w:r>
        <w:t>wasn’t</w:t>
      </w:r>
      <w:proofErr w:type="gramEnd"/>
      <w:r>
        <w:t xml:space="preserve"> clear. </w:t>
      </w:r>
    </w:p>
    <w:p w:rsidR="00F17EF6" w:rsidRDefault="00F17EF6" w:rsidP="00F17EF6">
      <w:pPr>
        <w:pStyle w:val="ListParagraph"/>
        <w:numPr>
          <w:ilvl w:val="0"/>
          <w:numId w:val="31"/>
        </w:numPr>
      </w:pPr>
      <w:r w:rsidRPr="00F17EF6">
        <w:t xml:space="preserve">In our comments, ok to observe that it is not clear how the measurement </w:t>
      </w:r>
      <w:r>
        <w:t>addresses each subsection of a compound outcome, but more appropriate for CTE than for GE.</w:t>
      </w:r>
    </w:p>
    <w:p w:rsidR="00F17EF6" w:rsidRDefault="00F17EF6" w:rsidP="00F17EF6">
      <w:pPr>
        <w:pStyle w:val="ListParagraph"/>
        <w:numPr>
          <w:ilvl w:val="0"/>
          <w:numId w:val="31"/>
        </w:numPr>
      </w:pPr>
      <w:r>
        <w:t>The rubric should note yes if it was evident somewhere, but OK to note in the feedback that the question did not provide the answer but it was located elsewhere, or that you are extrapolating</w:t>
      </w:r>
    </w:p>
    <w:p w:rsidR="00F17EF6" w:rsidRPr="00F17EF6" w:rsidRDefault="00F17EF6" w:rsidP="00F17EF6">
      <w:pPr>
        <w:pStyle w:val="ListParagraph"/>
        <w:numPr>
          <w:ilvl w:val="0"/>
          <w:numId w:val="31"/>
        </w:numPr>
      </w:pPr>
      <w:r>
        <w:t>Try for positive, appreciative tone (channeling Zelda); try to include letter with context this time.</w:t>
      </w:r>
    </w:p>
    <w:p w:rsidR="00F17EF6" w:rsidRPr="00F17EF6" w:rsidRDefault="00F17EF6" w:rsidP="00F17EF6">
      <w:pPr>
        <w:rPr>
          <w:color w:val="000000"/>
        </w:rPr>
      </w:pPr>
    </w:p>
    <w:p w:rsidR="005771E2" w:rsidRPr="00921081" w:rsidRDefault="005771E2" w:rsidP="005771E2">
      <w:pPr>
        <w:pStyle w:val="ListParagraph"/>
        <w:numPr>
          <w:ilvl w:val="0"/>
          <w:numId w:val="28"/>
        </w:numPr>
        <w:rPr>
          <w:color w:val="000000"/>
        </w:rPr>
      </w:pPr>
      <w:r>
        <w:rPr>
          <w:color w:val="000000"/>
        </w:rPr>
        <w:t xml:space="preserve">Discussion: Splitting into smaller groups with deans for completing feedback </w:t>
      </w:r>
      <w:r w:rsidRPr="005771E2">
        <w:rPr>
          <w:color w:val="FF0000"/>
        </w:rPr>
        <w:t>(all)</w:t>
      </w:r>
    </w:p>
    <w:p w:rsidR="00921081" w:rsidRPr="00921081" w:rsidRDefault="00921081" w:rsidP="00921081">
      <w:pPr>
        <w:pStyle w:val="ListParagraph"/>
        <w:numPr>
          <w:ilvl w:val="0"/>
          <w:numId w:val="31"/>
        </w:numPr>
      </w:pPr>
      <w:r w:rsidRPr="00921081">
        <w:t>Last year: divide into CTE or GE to read projects</w:t>
      </w:r>
    </w:p>
    <w:p w:rsidR="00921081" w:rsidRPr="00921081" w:rsidRDefault="00921081" w:rsidP="00921081">
      <w:pPr>
        <w:pStyle w:val="ListParagraph"/>
        <w:numPr>
          <w:ilvl w:val="1"/>
          <w:numId w:val="31"/>
        </w:numPr>
      </w:pPr>
      <w:r w:rsidRPr="00921081">
        <w:t>GE used model in which every project had a first reader and second reader, and they brought the problematic ones to the group for feedback.</w:t>
      </w:r>
    </w:p>
    <w:p w:rsidR="00921081" w:rsidRDefault="00921081" w:rsidP="00921081">
      <w:pPr>
        <w:pStyle w:val="ListParagraph"/>
        <w:numPr>
          <w:ilvl w:val="1"/>
          <w:numId w:val="31"/>
        </w:numPr>
      </w:pPr>
      <w:r w:rsidRPr="00921081">
        <w:t xml:space="preserve">CTE assigned out each report and </w:t>
      </w:r>
      <w:proofErr w:type="gramStart"/>
      <w:r w:rsidRPr="00921081">
        <w:t>read through</w:t>
      </w:r>
      <w:proofErr w:type="gramEnd"/>
      <w:r w:rsidRPr="00921081">
        <w:t xml:space="preserve"> all of them as a group.</w:t>
      </w:r>
    </w:p>
    <w:p w:rsidR="00921081" w:rsidRDefault="00921081" w:rsidP="00921081">
      <w:pPr>
        <w:pStyle w:val="ListParagraph"/>
        <w:numPr>
          <w:ilvl w:val="1"/>
          <w:numId w:val="31"/>
        </w:numPr>
      </w:pPr>
      <w:r>
        <w:t>Last year was problematic for deans to understand and deliver feedback</w:t>
      </w:r>
    </w:p>
    <w:p w:rsidR="00921081" w:rsidRPr="00921081" w:rsidRDefault="00921081" w:rsidP="00921081">
      <w:pPr>
        <w:pStyle w:val="ListParagraph"/>
        <w:numPr>
          <w:ilvl w:val="0"/>
          <w:numId w:val="31"/>
        </w:numPr>
        <w:rPr>
          <w:color w:val="FF0000"/>
        </w:rPr>
      </w:pPr>
      <w:r w:rsidRPr="00921081">
        <w:rPr>
          <w:color w:val="FF0000"/>
        </w:rPr>
        <w:t xml:space="preserve">This year, proposal to divide LOA according to dean; read with deans </w:t>
      </w:r>
    </w:p>
    <w:p w:rsidR="00921081" w:rsidRPr="00921081" w:rsidRDefault="00921081" w:rsidP="00921081">
      <w:pPr>
        <w:pStyle w:val="ListParagraph"/>
        <w:numPr>
          <w:ilvl w:val="0"/>
          <w:numId w:val="31"/>
        </w:numPr>
        <w:rPr>
          <w:color w:val="FF0000"/>
        </w:rPr>
      </w:pPr>
      <w:r w:rsidRPr="00921081">
        <w:rPr>
          <w:color w:val="FF0000"/>
        </w:rPr>
        <w:t>Groups would be:</w:t>
      </w:r>
    </w:p>
    <w:p w:rsidR="00921081" w:rsidRDefault="00921081" w:rsidP="00921081">
      <w:pPr>
        <w:pStyle w:val="ListParagraph"/>
        <w:numPr>
          <w:ilvl w:val="1"/>
          <w:numId w:val="31"/>
        </w:numPr>
      </w:pPr>
      <w:r>
        <w:t>Fisher Group:</w:t>
      </w:r>
    </w:p>
    <w:p w:rsidR="00921081" w:rsidRDefault="00921081" w:rsidP="00921081">
      <w:pPr>
        <w:pStyle w:val="ListParagraph"/>
        <w:numPr>
          <w:ilvl w:val="2"/>
          <w:numId w:val="31"/>
        </w:numPr>
      </w:pPr>
      <w:r>
        <w:t>Wayne</w:t>
      </w:r>
    </w:p>
    <w:p w:rsidR="00921081" w:rsidRDefault="00921081" w:rsidP="00921081">
      <w:pPr>
        <w:pStyle w:val="ListParagraph"/>
        <w:numPr>
          <w:ilvl w:val="2"/>
          <w:numId w:val="31"/>
        </w:numPr>
      </w:pPr>
      <w:r>
        <w:t>Vickery</w:t>
      </w:r>
    </w:p>
    <w:p w:rsidR="00921081" w:rsidRDefault="00921081" w:rsidP="00921081">
      <w:pPr>
        <w:pStyle w:val="ListParagraph"/>
        <w:numPr>
          <w:ilvl w:val="1"/>
          <w:numId w:val="31"/>
        </w:numPr>
      </w:pPr>
      <w:r>
        <w:t>Downing Group</w:t>
      </w:r>
    </w:p>
    <w:p w:rsidR="00921081" w:rsidRDefault="00921081" w:rsidP="00921081">
      <w:pPr>
        <w:pStyle w:val="ListParagraph"/>
        <w:numPr>
          <w:ilvl w:val="2"/>
          <w:numId w:val="31"/>
        </w:numPr>
      </w:pPr>
      <w:r>
        <w:t>Sarah</w:t>
      </w:r>
    </w:p>
    <w:p w:rsidR="00921081" w:rsidRDefault="00921081" w:rsidP="00921081">
      <w:pPr>
        <w:pStyle w:val="ListParagraph"/>
        <w:numPr>
          <w:ilvl w:val="2"/>
          <w:numId w:val="31"/>
        </w:numPr>
      </w:pPr>
      <w:r>
        <w:t>Jessie</w:t>
      </w:r>
      <w:r>
        <w:t xml:space="preserve"> (in the field until Nov. 12)</w:t>
      </w:r>
    </w:p>
    <w:p w:rsidR="00921081" w:rsidRDefault="00921081" w:rsidP="00921081">
      <w:pPr>
        <w:pStyle w:val="ListParagraph"/>
        <w:numPr>
          <w:ilvl w:val="2"/>
          <w:numId w:val="31"/>
        </w:numPr>
      </w:pPr>
      <w:r>
        <w:t>Michele</w:t>
      </w:r>
    </w:p>
    <w:p w:rsidR="00921081" w:rsidRDefault="00921081" w:rsidP="00921081">
      <w:pPr>
        <w:pStyle w:val="ListParagraph"/>
        <w:numPr>
          <w:ilvl w:val="1"/>
          <w:numId w:val="31"/>
        </w:numPr>
      </w:pPr>
      <w:r>
        <w:t>Newby Group</w:t>
      </w:r>
      <w:r>
        <w:t xml:space="preserve"> </w:t>
      </w:r>
      <w:r>
        <w:t>(on Nov 9)</w:t>
      </w:r>
    </w:p>
    <w:p w:rsidR="00921081" w:rsidRDefault="00921081" w:rsidP="00921081">
      <w:pPr>
        <w:pStyle w:val="ListParagraph"/>
        <w:numPr>
          <w:ilvl w:val="2"/>
          <w:numId w:val="31"/>
        </w:numPr>
      </w:pPr>
      <w:r>
        <w:t>Hazlett</w:t>
      </w:r>
    </w:p>
    <w:p w:rsidR="00921081" w:rsidRDefault="00921081" w:rsidP="00921081">
      <w:pPr>
        <w:pStyle w:val="ListParagraph"/>
        <w:numPr>
          <w:ilvl w:val="2"/>
          <w:numId w:val="31"/>
        </w:numPr>
      </w:pPr>
      <w:r>
        <w:t>Williams</w:t>
      </w:r>
    </w:p>
    <w:p w:rsidR="00921081" w:rsidRPr="00921081" w:rsidRDefault="00921081" w:rsidP="00921081">
      <w:pPr>
        <w:pStyle w:val="ListParagraph"/>
        <w:numPr>
          <w:ilvl w:val="2"/>
          <w:numId w:val="31"/>
        </w:numPr>
      </w:pPr>
      <w:r>
        <w:t xml:space="preserve">Hostetler </w:t>
      </w:r>
      <w:r>
        <w:t>(currently this group has more projects)</w:t>
      </w:r>
    </w:p>
    <w:p w:rsidR="005771E2" w:rsidRPr="00921081" w:rsidRDefault="005771E2" w:rsidP="005771E2">
      <w:pPr>
        <w:pStyle w:val="ListParagraph"/>
      </w:pPr>
    </w:p>
    <w:p w:rsidR="005771E2" w:rsidRPr="005771E2" w:rsidRDefault="005771E2" w:rsidP="005771E2">
      <w:pPr>
        <w:pStyle w:val="ListParagraph"/>
        <w:numPr>
          <w:ilvl w:val="0"/>
          <w:numId w:val="28"/>
        </w:numPr>
        <w:rPr>
          <w:color w:val="000000"/>
        </w:rPr>
      </w:pPr>
      <w:r>
        <w:rPr>
          <w:color w:val="000000"/>
        </w:rPr>
        <w:t xml:space="preserve">Scheduling and assignments for feedback </w:t>
      </w:r>
      <w:r w:rsidRPr="005771E2">
        <w:rPr>
          <w:color w:val="FF0000"/>
        </w:rPr>
        <w:t>(all)</w:t>
      </w:r>
    </w:p>
    <w:p w:rsidR="005771E2" w:rsidRPr="00921081" w:rsidRDefault="00921081" w:rsidP="005771E2">
      <w:pPr>
        <w:pStyle w:val="ListParagraph"/>
        <w:rPr>
          <w:color w:val="FF0000"/>
        </w:rPr>
      </w:pPr>
      <w:r w:rsidRPr="00921081">
        <w:rPr>
          <w:color w:val="FF0000"/>
        </w:rPr>
        <w:t xml:space="preserve">Vickery will update Projects to read document and make assignments, and email LOA members when this is complete. </w:t>
      </w:r>
    </w:p>
    <w:p w:rsidR="00AD5172" w:rsidRDefault="00AD5172" w:rsidP="0050470F"/>
    <w:p w:rsidR="00BB3A5A" w:rsidRDefault="00BB3A5A" w:rsidP="0050470F">
      <w:r>
        <w:t>Next meeting:</w:t>
      </w:r>
      <w:bookmarkStart w:id="0" w:name="_GoBack"/>
      <w:bookmarkEnd w:id="0"/>
    </w:p>
    <w:p w:rsidR="00921081" w:rsidRDefault="00921081" w:rsidP="0050470F">
      <w:r>
        <w:lastRenderedPageBreak/>
        <w:t xml:space="preserve">We decided to cancel the Nov. 2 meeting; the month of November </w:t>
      </w:r>
      <w:proofErr w:type="gramStart"/>
      <w:r>
        <w:t>will be focused</w:t>
      </w:r>
      <w:proofErr w:type="gramEnd"/>
      <w:r>
        <w:t xml:space="preserve"> on producing feedback rubrics</w:t>
      </w:r>
      <w:r w:rsidRPr="00921081">
        <w:rPr>
          <w:color w:val="FF0000"/>
        </w:rPr>
        <w:t xml:space="preserve">. Target deadline: Thanksgiving break. </w:t>
      </w:r>
    </w:p>
    <w:p w:rsidR="00921081" w:rsidRDefault="00921081" w:rsidP="0050470F"/>
    <w:p w:rsidR="00BB3A5A" w:rsidRPr="00921081" w:rsidRDefault="00BB3A5A" w:rsidP="0050470F">
      <w:pPr>
        <w:rPr>
          <w:strike/>
        </w:rPr>
      </w:pPr>
      <w:r w:rsidRPr="00921081">
        <w:rPr>
          <w:strike/>
        </w:rPr>
        <w:t>Friday, Nov. 2, 2:30-3:30</w:t>
      </w:r>
      <w:r w:rsidR="00921081">
        <w:rPr>
          <w:strike/>
        </w:rPr>
        <w:t xml:space="preserve"> CANCELED</w:t>
      </w:r>
    </w:p>
    <w:p w:rsidR="00BB3A5A" w:rsidRDefault="00BB3A5A" w:rsidP="0050470F">
      <w:r>
        <w:t>Friday, Nov. 9, 2:30-3:30</w:t>
      </w:r>
    </w:p>
    <w:p w:rsidR="00BB3A5A" w:rsidRDefault="00BB3A5A" w:rsidP="0050470F">
      <w:r>
        <w:t>Friday, Nov.16, 2:30-3:30</w:t>
      </w:r>
    </w:p>
    <w:p w:rsidR="00BB3A5A" w:rsidRDefault="00BB3A5A" w:rsidP="0050470F">
      <w:r>
        <w:t>Friday, Nov. 30, 2:30-3:30</w:t>
      </w:r>
    </w:p>
    <w:p w:rsidR="00BB3A5A" w:rsidRDefault="00BB3A5A" w:rsidP="0050470F">
      <w:r>
        <w:t>Friday, Dec. 7, 2:30-3:30</w:t>
      </w:r>
    </w:p>
    <w:p w:rsidR="00BB3A5A" w:rsidRDefault="00BB3A5A" w:rsidP="0050470F"/>
    <w:p w:rsidR="009A3CCE" w:rsidRPr="00F1000A" w:rsidRDefault="009A3CCE" w:rsidP="0050470F">
      <w:pPr>
        <w:rPr>
          <w:color w:val="000000" w:themeColor="text1"/>
        </w:rPr>
      </w:pPr>
      <w:r w:rsidRPr="00F1000A">
        <w:rPr>
          <w:color w:val="000000" w:themeColor="text1"/>
        </w:rPr>
        <w:t>Parking Lot/Future meetings:</w:t>
      </w:r>
    </w:p>
    <w:p w:rsidR="009A3CCE" w:rsidRPr="00F1000A" w:rsidRDefault="009A3CCE" w:rsidP="0050470F">
      <w:pPr>
        <w:pStyle w:val="ListParagraph"/>
        <w:numPr>
          <w:ilvl w:val="0"/>
          <w:numId w:val="27"/>
        </w:numPr>
        <w:spacing w:after="160" w:line="259" w:lineRule="auto"/>
        <w:rPr>
          <w:color w:val="000000" w:themeColor="text1"/>
        </w:rPr>
      </w:pPr>
      <w:r w:rsidRPr="00F1000A">
        <w:rPr>
          <w:color w:val="000000" w:themeColor="text1"/>
        </w:rPr>
        <w:t>Cycle for GE courses offered with very little frequency</w:t>
      </w:r>
    </w:p>
    <w:p w:rsidR="009A3CCE" w:rsidRPr="00F1000A" w:rsidRDefault="009A3CCE" w:rsidP="0050470F">
      <w:pPr>
        <w:pStyle w:val="ListParagraph"/>
        <w:numPr>
          <w:ilvl w:val="0"/>
          <w:numId w:val="27"/>
        </w:numPr>
        <w:spacing w:after="160" w:line="259" w:lineRule="auto"/>
        <w:rPr>
          <w:color w:val="000000" w:themeColor="text1"/>
        </w:rPr>
      </w:pPr>
      <w:r w:rsidRPr="00F1000A">
        <w:rPr>
          <w:color w:val="000000" w:themeColor="text1"/>
        </w:rPr>
        <w:t>Closing the loop: measuring twice</w:t>
      </w:r>
    </w:p>
    <w:p w:rsidR="009A3CCE" w:rsidRPr="00F1000A" w:rsidRDefault="009A3CCE" w:rsidP="0050470F">
      <w:pPr>
        <w:pStyle w:val="ListParagraph"/>
        <w:numPr>
          <w:ilvl w:val="0"/>
          <w:numId w:val="27"/>
        </w:numPr>
        <w:rPr>
          <w:color w:val="000000" w:themeColor="text1"/>
        </w:rPr>
      </w:pPr>
      <w:r w:rsidRPr="00F1000A">
        <w:rPr>
          <w:color w:val="000000" w:themeColor="text1"/>
        </w:rPr>
        <w:t xml:space="preserve">Lead or captain for GEGs? </w:t>
      </w:r>
    </w:p>
    <w:p w:rsidR="009A3CCE" w:rsidRPr="0050470F" w:rsidRDefault="009A3CCE" w:rsidP="007A5F8E">
      <w:pPr>
        <w:pStyle w:val="ListParagraph"/>
        <w:rPr>
          <w:color w:val="000000" w:themeColor="text1"/>
        </w:rPr>
      </w:pPr>
    </w:p>
    <w:p w:rsidR="009A3CCE" w:rsidRPr="00F1000A" w:rsidRDefault="009A3CCE" w:rsidP="009A3CCE">
      <w:pPr>
        <w:ind w:firstLine="450"/>
        <w:rPr>
          <w:color w:val="000000" w:themeColor="text1"/>
        </w:rPr>
      </w:pPr>
    </w:p>
    <w:p w:rsidR="00C12B7C" w:rsidRPr="00C80F7A" w:rsidRDefault="00C12B7C" w:rsidP="00EC114C"/>
    <w:sectPr w:rsidR="00C12B7C" w:rsidRPr="00C80F7A" w:rsidSect="009A3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6E1175">
              <w:rPr>
                <w:b/>
                <w:bCs/>
                <w:noProof/>
                <w:sz w:val="16"/>
                <w:szCs w:val="16"/>
              </w:rPr>
              <w:t>3</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D269A4"/>
    <w:multiLevelType w:val="hybridMultilevel"/>
    <w:tmpl w:val="EE444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2488F"/>
    <w:multiLevelType w:val="hybridMultilevel"/>
    <w:tmpl w:val="CD6E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87CD4"/>
    <w:multiLevelType w:val="hybridMultilevel"/>
    <w:tmpl w:val="EE52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D3255"/>
    <w:multiLevelType w:val="hybridMultilevel"/>
    <w:tmpl w:val="82CC5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C150A4"/>
    <w:multiLevelType w:val="hybridMultilevel"/>
    <w:tmpl w:val="E7AE8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56970"/>
    <w:multiLevelType w:val="hybridMultilevel"/>
    <w:tmpl w:val="640E0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6"/>
  </w:num>
  <w:num w:numId="4">
    <w:abstractNumId w:val="30"/>
  </w:num>
  <w:num w:numId="5">
    <w:abstractNumId w:val="5"/>
  </w:num>
  <w:num w:numId="6">
    <w:abstractNumId w:val="28"/>
  </w:num>
  <w:num w:numId="7">
    <w:abstractNumId w:val="7"/>
  </w:num>
  <w:num w:numId="8">
    <w:abstractNumId w:val="8"/>
  </w:num>
  <w:num w:numId="9">
    <w:abstractNumId w:val="9"/>
  </w:num>
  <w:num w:numId="10">
    <w:abstractNumId w:val="10"/>
  </w:num>
  <w:num w:numId="11">
    <w:abstractNumId w:val="24"/>
  </w:num>
  <w:num w:numId="12">
    <w:abstractNumId w:val="11"/>
  </w:num>
  <w:num w:numId="13">
    <w:abstractNumId w:val="15"/>
  </w:num>
  <w:num w:numId="14">
    <w:abstractNumId w:val="16"/>
  </w:num>
  <w:num w:numId="15">
    <w:abstractNumId w:val="2"/>
  </w:num>
  <w:num w:numId="16">
    <w:abstractNumId w:val="26"/>
  </w:num>
  <w:num w:numId="17">
    <w:abstractNumId w:val="14"/>
  </w:num>
  <w:num w:numId="18">
    <w:abstractNumId w:val="29"/>
  </w:num>
  <w:num w:numId="19">
    <w:abstractNumId w:val="21"/>
  </w:num>
  <w:num w:numId="20">
    <w:abstractNumId w:val="13"/>
  </w:num>
  <w:num w:numId="21">
    <w:abstractNumId w:val="22"/>
  </w:num>
  <w:num w:numId="22">
    <w:abstractNumId w:val="4"/>
  </w:num>
  <w:num w:numId="23">
    <w:abstractNumId w:val="12"/>
  </w:num>
  <w:num w:numId="24">
    <w:abstractNumId w:val="0"/>
  </w:num>
  <w:num w:numId="25">
    <w:abstractNumId w:val="23"/>
  </w:num>
  <w:num w:numId="26">
    <w:abstractNumId w:val="18"/>
  </w:num>
  <w:num w:numId="27">
    <w:abstractNumId w:val="17"/>
  </w:num>
  <w:num w:numId="28">
    <w:abstractNumId w:val="2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lvlOverride w:ilvl="2"/>
    <w:lvlOverride w:ilvl="3"/>
    <w:lvlOverride w:ilvl="4"/>
    <w:lvlOverride w:ilvl="5"/>
    <w:lvlOverride w:ilvl="6"/>
    <w:lvlOverride w:ilvl="7"/>
    <w:lvlOverride w:ilv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70CE6"/>
    <w:rsid w:val="0007235D"/>
    <w:rsid w:val="00083D79"/>
    <w:rsid w:val="000943DF"/>
    <w:rsid w:val="000B2540"/>
    <w:rsid w:val="000B4F70"/>
    <w:rsid w:val="000D2044"/>
    <w:rsid w:val="000E00CE"/>
    <w:rsid w:val="000F2D64"/>
    <w:rsid w:val="001061F6"/>
    <w:rsid w:val="00107198"/>
    <w:rsid w:val="00166C72"/>
    <w:rsid w:val="001B07F6"/>
    <w:rsid w:val="001E0430"/>
    <w:rsid w:val="001E4BA4"/>
    <w:rsid w:val="001F2F23"/>
    <w:rsid w:val="001F7929"/>
    <w:rsid w:val="00204218"/>
    <w:rsid w:val="00223160"/>
    <w:rsid w:val="00223EDF"/>
    <w:rsid w:val="0023074D"/>
    <w:rsid w:val="00262F4F"/>
    <w:rsid w:val="00276FC3"/>
    <w:rsid w:val="002A395F"/>
    <w:rsid w:val="002E1D79"/>
    <w:rsid w:val="002F487E"/>
    <w:rsid w:val="003169F0"/>
    <w:rsid w:val="00320C7F"/>
    <w:rsid w:val="003261DA"/>
    <w:rsid w:val="00345783"/>
    <w:rsid w:val="003701E5"/>
    <w:rsid w:val="003733AA"/>
    <w:rsid w:val="00374339"/>
    <w:rsid w:val="00374B17"/>
    <w:rsid w:val="003B4EFA"/>
    <w:rsid w:val="003C6F5A"/>
    <w:rsid w:val="003C74F9"/>
    <w:rsid w:val="003D7E9A"/>
    <w:rsid w:val="00415992"/>
    <w:rsid w:val="00426709"/>
    <w:rsid w:val="00460E6B"/>
    <w:rsid w:val="00465A68"/>
    <w:rsid w:val="00486492"/>
    <w:rsid w:val="004A1222"/>
    <w:rsid w:val="004A4EBF"/>
    <w:rsid w:val="004B2B4A"/>
    <w:rsid w:val="004B56DE"/>
    <w:rsid w:val="004D0146"/>
    <w:rsid w:val="004D0D61"/>
    <w:rsid w:val="004D352A"/>
    <w:rsid w:val="004F0F7C"/>
    <w:rsid w:val="004F33D7"/>
    <w:rsid w:val="004F707C"/>
    <w:rsid w:val="005016BA"/>
    <w:rsid w:val="00503945"/>
    <w:rsid w:val="0050470F"/>
    <w:rsid w:val="00512D5E"/>
    <w:rsid w:val="005622EC"/>
    <w:rsid w:val="00563D94"/>
    <w:rsid w:val="005771E2"/>
    <w:rsid w:val="00577F27"/>
    <w:rsid w:val="005857F2"/>
    <w:rsid w:val="00594465"/>
    <w:rsid w:val="00596AD0"/>
    <w:rsid w:val="005974F1"/>
    <w:rsid w:val="005A57C6"/>
    <w:rsid w:val="005B2ECB"/>
    <w:rsid w:val="005C210A"/>
    <w:rsid w:val="005D5EBC"/>
    <w:rsid w:val="006366BC"/>
    <w:rsid w:val="006427E3"/>
    <w:rsid w:val="006456C9"/>
    <w:rsid w:val="0067227F"/>
    <w:rsid w:val="00673BA9"/>
    <w:rsid w:val="00675B30"/>
    <w:rsid w:val="006B0FA5"/>
    <w:rsid w:val="006C1F89"/>
    <w:rsid w:val="006D0D3D"/>
    <w:rsid w:val="006D6A53"/>
    <w:rsid w:val="006E1175"/>
    <w:rsid w:val="0071574A"/>
    <w:rsid w:val="00716DFB"/>
    <w:rsid w:val="00727BD3"/>
    <w:rsid w:val="00744D10"/>
    <w:rsid w:val="0078182E"/>
    <w:rsid w:val="007A5F8E"/>
    <w:rsid w:val="007B6227"/>
    <w:rsid w:val="007C0FF4"/>
    <w:rsid w:val="007C1A23"/>
    <w:rsid w:val="007C38B3"/>
    <w:rsid w:val="007C3CBF"/>
    <w:rsid w:val="007C50ED"/>
    <w:rsid w:val="007C7201"/>
    <w:rsid w:val="007D31C4"/>
    <w:rsid w:val="007D397F"/>
    <w:rsid w:val="007E196B"/>
    <w:rsid w:val="00843620"/>
    <w:rsid w:val="00854669"/>
    <w:rsid w:val="0086741A"/>
    <w:rsid w:val="00867D5E"/>
    <w:rsid w:val="00870A69"/>
    <w:rsid w:val="00885936"/>
    <w:rsid w:val="0089168C"/>
    <w:rsid w:val="0089697A"/>
    <w:rsid w:val="00897E1E"/>
    <w:rsid w:val="008B32CD"/>
    <w:rsid w:val="008C2D9E"/>
    <w:rsid w:val="008C4F36"/>
    <w:rsid w:val="008D057D"/>
    <w:rsid w:val="008D080C"/>
    <w:rsid w:val="00921081"/>
    <w:rsid w:val="00973D3D"/>
    <w:rsid w:val="0097489F"/>
    <w:rsid w:val="009813E6"/>
    <w:rsid w:val="00985E45"/>
    <w:rsid w:val="009A3B2B"/>
    <w:rsid w:val="009A3CCE"/>
    <w:rsid w:val="009B4598"/>
    <w:rsid w:val="009B684E"/>
    <w:rsid w:val="00A82711"/>
    <w:rsid w:val="00AD26E6"/>
    <w:rsid w:val="00AD5172"/>
    <w:rsid w:val="00AD577B"/>
    <w:rsid w:val="00B16F22"/>
    <w:rsid w:val="00B459EF"/>
    <w:rsid w:val="00B56123"/>
    <w:rsid w:val="00B60D1E"/>
    <w:rsid w:val="00B627DE"/>
    <w:rsid w:val="00B9399A"/>
    <w:rsid w:val="00B96DBC"/>
    <w:rsid w:val="00BB20D6"/>
    <w:rsid w:val="00BB3A5A"/>
    <w:rsid w:val="00BC13E8"/>
    <w:rsid w:val="00BC695C"/>
    <w:rsid w:val="00BE4061"/>
    <w:rsid w:val="00BF7AD5"/>
    <w:rsid w:val="00C00D07"/>
    <w:rsid w:val="00C12B7C"/>
    <w:rsid w:val="00C51566"/>
    <w:rsid w:val="00C66630"/>
    <w:rsid w:val="00C72320"/>
    <w:rsid w:val="00C80F7A"/>
    <w:rsid w:val="00CA5375"/>
    <w:rsid w:val="00CC48ED"/>
    <w:rsid w:val="00CE6FF6"/>
    <w:rsid w:val="00CF30D2"/>
    <w:rsid w:val="00CF6051"/>
    <w:rsid w:val="00D459E3"/>
    <w:rsid w:val="00D779D1"/>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17EF6"/>
    <w:rsid w:val="00F50A11"/>
    <w:rsid w:val="00F66D5A"/>
    <w:rsid w:val="00F825C8"/>
    <w:rsid w:val="00F9636A"/>
    <w:rsid w:val="00FA531A"/>
    <w:rsid w:val="00FB0AD7"/>
    <w:rsid w:val="00FB7636"/>
    <w:rsid w:val="00FC43F9"/>
    <w:rsid w:val="00FD0B22"/>
    <w:rsid w:val="00FD7FAC"/>
    <w:rsid w:val="00FE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30F04C0"/>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54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03E7-22AC-44D9-884E-AF3AA0E6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3</cp:revision>
  <cp:lastPrinted>2015-04-14T18:24:00Z</cp:lastPrinted>
  <dcterms:created xsi:type="dcterms:W3CDTF">2018-10-26T23:17:00Z</dcterms:created>
  <dcterms:modified xsi:type="dcterms:W3CDTF">2018-10-26T23:47:00Z</dcterms:modified>
</cp:coreProperties>
</file>