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191D76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CF555E" w:rsidP="00CF555E">
            <w:r>
              <w:t>Jan 23</w:t>
            </w:r>
            <w:r w:rsidR="002F5489">
              <w:t>, 201</w:t>
            </w:r>
            <w:r>
              <w:t>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CF555E" w:rsidP="000F2D64">
            <w:pPr>
              <w:rPr>
                <w:highlight w:val="yellow"/>
              </w:rPr>
            </w:pPr>
            <w:r>
              <w:t>Wayne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</w:p>
        </w:tc>
        <w:tc>
          <w:tcPr>
            <w:tcW w:w="1853" w:type="pct"/>
          </w:tcPr>
          <w:p w:rsidR="001E4BA4" w:rsidRDefault="00CF555E">
            <w:r>
              <w:t>9am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CF555E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2F5489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2F5489">
            <w:r>
              <w:t>Vickery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2F5489" w:rsidP="00E2692C">
            <w:r>
              <w:t>Michele Decker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</w:p>
    <w:p w:rsidR="00C12B7C" w:rsidRDefault="00EB1C7A" w:rsidP="00C12B7C">
      <w:pPr>
        <w:pStyle w:val="ListParagraph"/>
        <w:numPr>
          <w:ilvl w:val="0"/>
          <w:numId w:val="25"/>
        </w:numPr>
      </w:pPr>
      <w:r>
        <w:t xml:space="preserve">Review Homework: </w:t>
      </w:r>
      <w:r w:rsidR="00CF555E">
        <w:t>Tools to evaluate program assessment</w:t>
      </w:r>
    </w:p>
    <w:p w:rsidR="00191D76" w:rsidRDefault="00191D76" w:rsidP="00191D76"/>
    <w:p w:rsidR="00191D76" w:rsidRDefault="00191D76" w:rsidP="00191D76">
      <w:r>
        <w:t>Deb shared a rubric/checklist she developed based on feedback from the last accreditation visit. It is simple, covers both CTE and transfer. The theory is that we are starting with the basics.</w:t>
      </w:r>
    </w:p>
    <w:p w:rsidR="00191D76" w:rsidRDefault="00191D76" w:rsidP="00191D76"/>
    <w:p w:rsidR="00191D76" w:rsidRDefault="00191D76" w:rsidP="00191D76">
      <w:r>
        <w:t xml:space="preserve">Mindy shared some links she found. AACU has sample rubrics available, as well as a guide on levels of assessment (“how to” manual). Level </w:t>
      </w:r>
      <w:proofErr w:type="gramStart"/>
      <w:r>
        <w:t>4</w:t>
      </w:r>
      <w:proofErr w:type="gramEnd"/>
      <w:r>
        <w:t xml:space="preserve"> questions may be helpful for GEGs.</w:t>
      </w:r>
    </w:p>
    <w:p w:rsidR="00191D76" w:rsidRDefault="00191D76" w:rsidP="00191D76"/>
    <w:p w:rsidR="00191D76" w:rsidRDefault="00191D76" w:rsidP="00191D76">
      <w:r>
        <w:t xml:space="preserve">She also shared an NSF evaluation guide, which is not higher </w:t>
      </w:r>
      <w:proofErr w:type="spellStart"/>
      <w:proofErr w:type="gramStart"/>
      <w:r>
        <w:t>ed</w:t>
      </w:r>
      <w:proofErr w:type="spellEnd"/>
      <w:proofErr w:type="gramEnd"/>
      <w:r>
        <w:t xml:space="preserve"> oriented by is comprehensive.</w:t>
      </w:r>
    </w:p>
    <w:p w:rsidR="00191D76" w:rsidRDefault="00191D76" w:rsidP="00191D76"/>
    <w:p w:rsidR="00191D76" w:rsidRDefault="00191D76" w:rsidP="00191D76">
      <w:r>
        <w:t xml:space="preserve">Discussion of benchmarks. Not all plans included them. Most skipped it. If you include them, you need a rationale of how you came up with the benchmark. Michele, thoughts on “happiness factor”—am I happy with this </w:t>
      </w:r>
      <w:proofErr w:type="gramStart"/>
      <w:r>
        <w:t>measure?</w:t>
      </w:r>
      <w:proofErr w:type="gramEnd"/>
      <w:r>
        <w:t xml:space="preserve"> Vickery, simplification for Year 1 with emphasis on improvement. Accrediting body sometimes provides benchmark. If not assigned, should be meaningful. </w:t>
      </w:r>
    </w:p>
    <w:p w:rsidR="00191D76" w:rsidRDefault="00191D76" w:rsidP="00191D76"/>
    <w:p w:rsidR="00191D76" w:rsidRDefault="00191D76" w:rsidP="00191D76">
      <w:proofErr w:type="gramStart"/>
      <w:r>
        <w:t>Who</w:t>
      </w:r>
      <w:proofErr w:type="gramEnd"/>
      <w:r>
        <w:t xml:space="preserve"> is the rubric for? Deans? LOA? Faculty? Goal: Share the same evaluation tool. Importance of giving feedback this year, otherwise this will be one more thing that is asked of us but not </w:t>
      </w:r>
      <w:proofErr w:type="gramStart"/>
      <w:r>
        <w:t>really important</w:t>
      </w:r>
      <w:proofErr w:type="gramEnd"/>
      <w:r>
        <w:t xml:space="preserve">. </w:t>
      </w:r>
      <w:proofErr w:type="gramStart"/>
      <w:r>
        <w:t>Deans</w:t>
      </w:r>
      <w:proofErr w:type="gramEnd"/>
      <w:r>
        <w:t xml:space="preserve"> role in feedback. Joint meeting with deans? Importance of getting feedback out this year. Also, determine feedback cycle for future years. </w:t>
      </w:r>
    </w:p>
    <w:p w:rsidR="00191D76" w:rsidRDefault="00191D76" w:rsidP="00191D76"/>
    <w:p w:rsidR="00191D76" w:rsidRDefault="00191D76" w:rsidP="00191D76">
      <w:r>
        <w:t xml:space="preserve">Sarah amended the assessment day rubric. Changes </w:t>
      </w:r>
      <w:proofErr w:type="gramStart"/>
      <w:r>
        <w:t>include:</w:t>
      </w:r>
      <w:proofErr w:type="gramEnd"/>
      <w:r>
        <w:t xml:space="preserve"> offer GEGs the chance to write their own outcomes. </w:t>
      </w:r>
      <w:proofErr w:type="spellStart"/>
      <w:r>
        <w:t>Asst</w:t>
      </w:r>
      <w:proofErr w:type="spellEnd"/>
      <w:r>
        <w:t xml:space="preserve"> planning should go first, before assessment tasks. Add two rows: cross-curriculum (what </w:t>
      </w:r>
      <w:proofErr w:type="gramStart"/>
      <w:r>
        <w:t>%</w:t>
      </w:r>
      <w:proofErr w:type="gramEnd"/>
      <w:r>
        <w:t xml:space="preserve"> of courses are involved in the </w:t>
      </w:r>
      <w:proofErr w:type="spellStart"/>
      <w:r>
        <w:t>asst</w:t>
      </w:r>
      <w:proofErr w:type="spellEnd"/>
      <w:r>
        <w:t xml:space="preserve"> plan)</w:t>
      </w:r>
      <w:r w:rsidR="00622A98">
        <w:t>, and benchmarks.</w:t>
      </w:r>
    </w:p>
    <w:p w:rsidR="00622A98" w:rsidRDefault="00622A98" w:rsidP="00191D76"/>
    <w:p w:rsidR="00622A98" w:rsidRDefault="00622A98" w:rsidP="00191D76">
      <w:r>
        <w:t xml:space="preserve">Interest in getting an evaluation tool identified and then use it; we can improve on it later. Need to give feedback this year (that was a recurring theme, apparently). </w:t>
      </w:r>
    </w:p>
    <w:p w:rsidR="00622A98" w:rsidRDefault="00622A98" w:rsidP="00191D76"/>
    <w:p w:rsidR="00622A98" w:rsidRDefault="00622A98" w:rsidP="00191D76">
      <w:r>
        <w:t>General Plan:</w:t>
      </w:r>
    </w:p>
    <w:p w:rsidR="000B2C4E" w:rsidRDefault="000B2C4E" w:rsidP="000B2C4E">
      <w:pPr>
        <w:pStyle w:val="ListParagraph"/>
        <w:numPr>
          <w:ilvl w:val="0"/>
          <w:numId w:val="26"/>
        </w:numPr>
      </w:pPr>
      <w:r>
        <w:t>HMWRK before Feb 6: V will load examples to web, prepare</w:t>
      </w:r>
      <w:r>
        <w:t xml:space="preserve"> to assemble a prototype evaluation too</w:t>
      </w:r>
      <w:r>
        <w:t xml:space="preserve">l. </w:t>
      </w:r>
      <w:r>
        <w:t>Not too complex for this first year, but enough detail to reflect both CTE and transfer and to reflect range of approaches.</w:t>
      </w:r>
    </w:p>
    <w:p w:rsidR="000B2C4E" w:rsidRDefault="000B2C4E" w:rsidP="000B2C4E">
      <w:pPr>
        <w:pStyle w:val="ListParagraph"/>
        <w:numPr>
          <w:ilvl w:val="0"/>
          <w:numId w:val="26"/>
        </w:numPr>
      </w:pPr>
      <w:r>
        <w:t xml:space="preserve">Next meeting (Feb 6), Agree on a prototype evaluation tool. </w:t>
      </w:r>
    </w:p>
    <w:p w:rsidR="000B2C4E" w:rsidRDefault="000B2C4E" w:rsidP="000B2C4E">
      <w:pPr>
        <w:pStyle w:val="ListParagraph"/>
        <w:numPr>
          <w:ilvl w:val="0"/>
          <w:numId w:val="26"/>
        </w:numPr>
      </w:pPr>
      <w:r>
        <w:t>HMWRK for Feb 20: A</w:t>
      </w:r>
      <w:r>
        <w:t xml:space="preserve">ssign </w:t>
      </w:r>
      <w:r>
        <w:t xml:space="preserve">LOA </w:t>
      </w:r>
      <w:proofErr w:type="gramStart"/>
      <w:r>
        <w:t>members</w:t>
      </w:r>
      <w:proofErr w:type="gramEnd"/>
      <w:r>
        <w:t xml:space="preserve"> </w:t>
      </w:r>
      <w:r>
        <w:t>assessment plans</w:t>
      </w:r>
      <w:r>
        <w:t xml:space="preserve"> to evaluate using the tool for the following meeting. Keep an eye out</w:t>
      </w:r>
      <w:bookmarkStart w:id="0" w:name="_GoBack"/>
      <w:bookmarkEnd w:id="0"/>
      <w:r>
        <w:t xml:space="preserve"> for examples to use as strong models.</w:t>
      </w:r>
    </w:p>
    <w:p w:rsidR="000B2C4E" w:rsidRDefault="000B2C4E" w:rsidP="000B2C4E">
      <w:pPr>
        <w:pStyle w:val="ListParagraph"/>
        <w:numPr>
          <w:ilvl w:val="0"/>
          <w:numId w:val="26"/>
        </w:numPr>
      </w:pPr>
      <w:r>
        <w:t xml:space="preserve">Following Meeting (Feb. 20), review results of evaluation. </w:t>
      </w:r>
    </w:p>
    <w:p w:rsidR="000B2C4E" w:rsidRDefault="000B2C4E" w:rsidP="000B2C4E">
      <w:pPr>
        <w:pStyle w:val="ListParagraph"/>
        <w:numPr>
          <w:ilvl w:val="0"/>
          <w:numId w:val="26"/>
        </w:numPr>
      </w:pPr>
      <w:r>
        <w:t>Some Future meeting: invite deans to discuss tool, elicit their support to disseminate feedback, plan Asst. Day.</w:t>
      </w:r>
    </w:p>
    <w:p w:rsidR="000B2C4E" w:rsidRDefault="000B2C4E" w:rsidP="00191D76"/>
    <w:p w:rsidR="009B391B" w:rsidRDefault="009B391B" w:rsidP="009B391B">
      <w:pPr>
        <w:ind w:left="360"/>
      </w:pPr>
    </w:p>
    <w:p w:rsidR="00C12B7C" w:rsidRDefault="00C12B7C">
      <w:r>
        <w:t>Next meeting</w:t>
      </w:r>
      <w:r w:rsidR="00CF555E">
        <w:t>s</w:t>
      </w:r>
      <w:r>
        <w:t>:</w:t>
      </w:r>
      <w:r w:rsidR="00EB1C7A">
        <w:t xml:space="preserve"> </w:t>
      </w:r>
      <w:r w:rsidR="00CF555E">
        <w:t>Feb 6, Feb 20, March 6, March 20</w:t>
      </w:r>
      <w:r w:rsidR="009B391B">
        <w:t xml:space="preserve">, </w:t>
      </w:r>
      <w:r w:rsidR="00CF555E">
        <w:t>9am</w:t>
      </w:r>
    </w:p>
    <w:p w:rsidR="00EB1C7A" w:rsidRDefault="00EB1C7A"/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0B2C4E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036EF"/>
    <w:multiLevelType w:val="hybridMultilevel"/>
    <w:tmpl w:val="3D86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2C4E"/>
    <w:rsid w:val="000B4F70"/>
    <w:rsid w:val="000D2044"/>
    <w:rsid w:val="000E00CE"/>
    <w:rsid w:val="000F2D64"/>
    <w:rsid w:val="001061F6"/>
    <w:rsid w:val="00107198"/>
    <w:rsid w:val="00166C72"/>
    <w:rsid w:val="00191D76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2F5489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22A98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391B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555E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1C7A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1CCB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5C03-10E0-4865-AACD-62F86F8A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2017-01-12T21:27:00Z</cp:lastPrinted>
  <dcterms:created xsi:type="dcterms:W3CDTF">2017-01-23T19:17:00Z</dcterms:created>
  <dcterms:modified xsi:type="dcterms:W3CDTF">2017-01-23T19:23:00Z</dcterms:modified>
</cp:coreProperties>
</file>