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C3" w:rsidRPr="001E4BA4" w:rsidRDefault="001E4BA4" w:rsidP="006A3CB4">
      <w:pPr>
        <w:ind w:left="1170" w:hanging="90"/>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Learning Outcomes and Assessment Group</w:t>
      </w:r>
      <w:r w:rsidR="00EF79A9">
        <w:rPr>
          <w:b/>
          <w:sz w:val="28"/>
        </w:rPr>
        <w:t xml:space="preserve"> </w:t>
      </w:r>
      <w:r w:rsidR="00D459E3">
        <w:rPr>
          <w:b/>
          <w:sz w:val="28"/>
        </w:rPr>
        <w:t>Meeting</w:t>
      </w:r>
      <w:r w:rsidR="00ED7AFA">
        <w:rPr>
          <w:b/>
          <w:sz w:val="28"/>
        </w:rPr>
        <w:t xml:space="preserve"> </w:t>
      </w:r>
      <w:r w:rsidR="00F8316A">
        <w:rPr>
          <w:b/>
          <w:sz w:val="28"/>
        </w:rPr>
        <w:t>Notes</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931"/>
        <w:gridCol w:w="3548"/>
        <w:gridCol w:w="1592"/>
        <w:gridCol w:w="3506"/>
      </w:tblGrid>
      <w:tr w:rsidR="001E4BA4" w:rsidTr="00F57D9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823D27" w:rsidP="005857F2">
            <w:r>
              <w:t>Nov. 4, 2016</w:t>
            </w:r>
          </w:p>
        </w:tc>
        <w:tc>
          <w:tcPr>
            <w:tcW w:w="829" w:type="pct"/>
            <w:shd w:val="clear" w:color="auto" w:fill="E36C0A" w:themeFill="accent6" w:themeFillShade="BF"/>
          </w:tcPr>
          <w:p w:rsidR="001E4BA4" w:rsidRPr="001E4BA4" w:rsidRDefault="001E4BA4">
            <w:pPr>
              <w:rPr>
                <w:b/>
              </w:rPr>
            </w:pPr>
            <w:r w:rsidRPr="001E4BA4">
              <w:rPr>
                <w:b/>
              </w:rPr>
              <w:t>Facilitator</w:t>
            </w:r>
            <w:r w:rsidR="009A3B2B">
              <w:rPr>
                <w:b/>
              </w:rPr>
              <w:t>(s)</w:t>
            </w:r>
            <w:r w:rsidRPr="001E4BA4">
              <w:rPr>
                <w:b/>
              </w:rPr>
              <w:t>:</w:t>
            </w:r>
          </w:p>
        </w:tc>
        <w:tc>
          <w:tcPr>
            <w:tcW w:w="1831" w:type="pct"/>
          </w:tcPr>
          <w:p w:rsidR="001E4BA4" w:rsidRPr="00223160" w:rsidRDefault="00823D27" w:rsidP="000F2D64">
            <w:pPr>
              <w:rPr>
                <w:highlight w:val="yellow"/>
              </w:rPr>
            </w:pPr>
            <w:r w:rsidRPr="00823D27">
              <w:t>Vickery Viles</w:t>
            </w:r>
          </w:p>
        </w:tc>
      </w:tr>
      <w:tr w:rsidR="001E4BA4" w:rsidTr="00F57D9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823D27">
            <w:r>
              <w:t>3-4pm</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1E4BA4"/>
        </w:tc>
      </w:tr>
      <w:tr w:rsidR="001E4BA4" w:rsidTr="00F57D9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823D27">
            <w:r>
              <w:t>OCH 141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823D27">
            <w:r>
              <w:t>Vickery Viles</w:t>
            </w:r>
          </w:p>
        </w:tc>
      </w:tr>
    </w:tbl>
    <w:p w:rsidR="001E4BA4" w:rsidRDefault="001E4BA4"/>
    <w:tbl>
      <w:tblPr>
        <w:tblStyle w:val="TableGrid"/>
        <w:tblW w:w="4440" w:type="pct"/>
        <w:tblLook w:val="04A0" w:firstRow="1" w:lastRow="0" w:firstColumn="1" w:lastColumn="0" w:noHBand="0" w:noVBand="1"/>
      </w:tblPr>
      <w:tblGrid>
        <w:gridCol w:w="2033"/>
        <w:gridCol w:w="2033"/>
        <w:gridCol w:w="418"/>
        <w:gridCol w:w="1796"/>
        <w:gridCol w:w="418"/>
        <w:gridCol w:w="2572"/>
        <w:gridCol w:w="312"/>
      </w:tblGrid>
      <w:tr w:rsidR="00426709" w:rsidTr="00426709">
        <w:tc>
          <w:tcPr>
            <w:tcW w:w="1061" w:type="pct"/>
            <w:vMerge w:val="restart"/>
            <w:shd w:val="clear" w:color="auto" w:fill="E36C0A" w:themeFill="accent6" w:themeFillShade="BF"/>
          </w:tcPr>
          <w:p w:rsidR="00426709" w:rsidRDefault="00426709" w:rsidP="00E2692C">
            <w:r w:rsidRPr="001E4BA4">
              <w:rPr>
                <w:b/>
              </w:rPr>
              <w:t>Attendees:</w:t>
            </w:r>
          </w:p>
        </w:tc>
        <w:tc>
          <w:tcPr>
            <w:tcW w:w="1061" w:type="pct"/>
            <w:shd w:val="clear" w:color="auto" w:fill="auto"/>
          </w:tcPr>
          <w:p w:rsidR="00426709" w:rsidRDefault="00426709" w:rsidP="00E2692C">
            <w:r>
              <w:t>Sarah Fuller</w:t>
            </w:r>
          </w:p>
        </w:tc>
        <w:tc>
          <w:tcPr>
            <w:tcW w:w="218" w:type="pct"/>
            <w:shd w:val="clear" w:color="auto" w:fill="auto"/>
          </w:tcPr>
          <w:p w:rsidR="00426709" w:rsidRDefault="00F8316A" w:rsidP="00E2692C">
            <w:r>
              <w:t>x</w:t>
            </w:r>
          </w:p>
        </w:tc>
        <w:tc>
          <w:tcPr>
            <w:tcW w:w="937" w:type="pct"/>
            <w:shd w:val="clear" w:color="auto" w:fill="auto"/>
          </w:tcPr>
          <w:p w:rsidR="00426709" w:rsidRDefault="00426709" w:rsidP="00E2692C">
            <w:r>
              <w:t>Vickery Viles</w:t>
            </w:r>
          </w:p>
        </w:tc>
        <w:tc>
          <w:tcPr>
            <w:tcW w:w="218" w:type="pct"/>
            <w:shd w:val="clear" w:color="auto" w:fill="auto"/>
          </w:tcPr>
          <w:p w:rsidR="00426709" w:rsidRDefault="00F8316A" w:rsidP="00E2692C">
            <w:r>
              <w:t>x</w:t>
            </w:r>
          </w:p>
        </w:tc>
        <w:tc>
          <w:tcPr>
            <w:tcW w:w="1342" w:type="pct"/>
            <w:shd w:val="clear" w:color="auto" w:fill="auto"/>
          </w:tcPr>
          <w:p w:rsidR="00426709" w:rsidRPr="00465A68" w:rsidRDefault="00426709" w:rsidP="00E2692C">
            <w:pPr>
              <w:rPr>
                <w:b/>
              </w:rPr>
            </w:pPr>
            <w:r>
              <w:rPr>
                <w:b/>
              </w:rPr>
              <w:t>Guests:</w:t>
            </w:r>
          </w:p>
        </w:tc>
        <w:tc>
          <w:tcPr>
            <w:tcW w:w="163" w:type="pct"/>
            <w:shd w:val="clear" w:color="auto" w:fill="auto"/>
          </w:tcPr>
          <w:p w:rsidR="00426709" w:rsidRDefault="00426709" w:rsidP="00E2692C"/>
        </w:tc>
      </w:tr>
      <w:tr w:rsidR="00426709" w:rsidTr="00426709">
        <w:tc>
          <w:tcPr>
            <w:tcW w:w="1061" w:type="pct"/>
            <w:vMerge/>
            <w:shd w:val="clear" w:color="auto" w:fill="E36C0A" w:themeFill="accent6" w:themeFillShade="BF"/>
          </w:tcPr>
          <w:p w:rsidR="00426709" w:rsidRDefault="00426709" w:rsidP="00E2692C"/>
        </w:tc>
        <w:tc>
          <w:tcPr>
            <w:tcW w:w="1061" w:type="pct"/>
          </w:tcPr>
          <w:p w:rsidR="00426709" w:rsidRDefault="00426709" w:rsidP="00E2692C">
            <w:r>
              <w:t>Jason Lamb</w:t>
            </w:r>
          </w:p>
        </w:tc>
        <w:tc>
          <w:tcPr>
            <w:tcW w:w="218" w:type="pct"/>
          </w:tcPr>
          <w:p w:rsidR="00426709" w:rsidRDefault="00F8316A" w:rsidP="00E2692C">
            <w:r>
              <w:t>x</w:t>
            </w:r>
          </w:p>
        </w:tc>
        <w:tc>
          <w:tcPr>
            <w:tcW w:w="937" w:type="pct"/>
          </w:tcPr>
          <w:p w:rsidR="00426709" w:rsidRDefault="00426709" w:rsidP="00E2692C">
            <w:r>
              <w:t>Mindy Williams</w:t>
            </w:r>
          </w:p>
        </w:tc>
        <w:tc>
          <w:tcPr>
            <w:tcW w:w="218" w:type="pct"/>
          </w:tcPr>
          <w:p w:rsidR="00426709" w:rsidRDefault="00F8316A" w:rsidP="00E2692C">
            <w:r>
              <w:t>x</w:t>
            </w:r>
          </w:p>
        </w:tc>
        <w:tc>
          <w:tcPr>
            <w:tcW w:w="1342" w:type="pct"/>
          </w:tcPr>
          <w:p w:rsidR="00426709" w:rsidRDefault="00426709" w:rsidP="00E2692C"/>
        </w:tc>
        <w:tc>
          <w:tcPr>
            <w:tcW w:w="163" w:type="pct"/>
          </w:tcPr>
          <w:p w:rsidR="00426709" w:rsidRDefault="00426709" w:rsidP="00E2692C"/>
        </w:tc>
      </w:tr>
      <w:tr w:rsidR="00426709" w:rsidTr="00426709">
        <w:tc>
          <w:tcPr>
            <w:tcW w:w="1061" w:type="pct"/>
            <w:vMerge/>
            <w:shd w:val="clear" w:color="auto" w:fill="E36C0A" w:themeFill="accent6" w:themeFillShade="BF"/>
          </w:tcPr>
          <w:p w:rsidR="00426709" w:rsidRDefault="00426709" w:rsidP="00E2692C"/>
        </w:tc>
        <w:tc>
          <w:tcPr>
            <w:tcW w:w="1061" w:type="pct"/>
          </w:tcPr>
          <w:p w:rsidR="00426709" w:rsidRDefault="00426709" w:rsidP="00E2692C">
            <w:r>
              <w:t>Deborah Malone</w:t>
            </w:r>
          </w:p>
        </w:tc>
        <w:tc>
          <w:tcPr>
            <w:tcW w:w="218" w:type="pct"/>
          </w:tcPr>
          <w:p w:rsidR="00426709" w:rsidRDefault="00F8316A" w:rsidP="00E2692C">
            <w:r>
              <w:t>x</w:t>
            </w:r>
          </w:p>
        </w:tc>
        <w:tc>
          <w:tcPr>
            <w:tcW w:w="937" w:type="pct"/>
          </w:tcPr>
          <w:p w:rsidR="00426709" w:rsidRDefault="00426709" w:rsidP="00E2692C">
            <w:r>
              <w:t>Wayne Yeatman</w:t>
            </w:r>
          </w:p>
        </w:tc>
        <w:tc>
          <w:tcPr>
            <w:tcW w:w="218" w:type="pct"/>
          </w:tcPr>
          <w:p w:rsidR="00426709" w:rsidRDefault="00F8316A" w:rsidP="00E2692C">
            <w:r>
              <w:t>x</w:t>
            </w:r>
          </w:p>
        </w:tc>
        <w:tc>
          <w:tcPr>
            <w:tcW w:w="1342" w:type="pct"/>
          </w:tcPr>
          <w:p w:rsidR="00426709" w:rsidRPr="00465A68" w:rsidRDefault="00426709" w:rsidP="00E2692C"/>
        </w:tc>
        <w:tc>
          <w:tcPr>
            <w:tcW w:w="163" w:type="pct"/>
          </w:tcPr>
          <w:p w:rsidR="00426709" w:rsidRDefault="00426709" w:rsidP="00E2692C">
            <w:pPr>
              <w:rPr>
                <w:b/>
              </w:rPr>
            </w:pPr>
          </w:p>
        </w:tc>
      </w:tr>
      <w:tr w:rsidR="00426709" w:rsidTr="00426709">
        <w:tc>
          <w:tcPr>
            <w:tcW w:w="1061" w:type="pct"/>
            <w:vMerge/>
            <w:shd w:val="clear" w:color="auto" w:fill="E36C0A" w:themeFill="accent6" w:themeFillShade="BF"/>
          </w:tcPr>
          <w:p w:rsidR="00426709" w:rsidRDefault="00426709" w:rsidP="00E2692C"/>
        </w:tc>
        <w:tc>
          <w:tcPr>
            <w:tcW w:w="1061" w:type="pct"/>
          </w:tcPr>
          <w:p w:rsidR="00426709" w:rsidRDefault="00426709" w:rsidP="00E2692C">
            <w:r>
              <w:t>Shannon Waller</w:t>
            </w:r>
          </w:p>
        </w:tc>
        <w:tc>
          <w:tcPr>
            <w:tcW w:w="218" w:type="pct"/>
          </w:tcPr>
          <w:p w:rsidR="00426709" w:rsidRDefault="00F8316A" w:rsidP="00E2692C">
            <w:r>
              <w:t>x</w:t>
            </w:r>
          </w:p>
        </w:tc>
        <w:tc>
          <w:tcPr>
            <w:tcW w:w="937" w:type="pct"/>
          </w:tcPr>
          <w:p w:rsidR="00426709" w:rsidRPr="006366BC" w:rsidRDefault="00426709" w:rsidP="00E2692C">
            <w:r>
              <w:t>Zelda Ziegler</w:t>
            </w:r>
          </w:p>
        </w:tc>
        <w:tc>
          <w:tcPr>
            <w:tcW w:w="218" w:type="pct"/>
          </w:tcPr>
          <w:p w:rsidR="00426709" w:rsidRDefault="00F8316A" w:rsidP="00E2692C">
            <w:r>
              <w:t>x</w:t>
            </w:r>
          </w:p>
        </w:tc>
        <w:tc>
          <w:tcPr>
            <w:tcW w:w="1342" w:type="pct"/>
          </w:tcPr>
          <w:p w:rsidR="00426709" w:rsidRDefault="00426709" w:rsidP="00E2692C"/>
        </w:tc>
        <w:tc>
          <w:tcPr>
            <w:tcW w:w="163" w:type="pct"/>
          </w:tcPr>
          <w:p w:rsidR="00426709" w:rsidRDefault="00426709" w:rsidP="00E2692C"/>
        </w:tc>
      </w:tr>
    </w:tbl>
    <w:p w:rsidR="001E4BA4" w:rsidRDefault="001E4BA4"/>
    <w:p w:rsidR="00C12B7C" w:rsidRDefault="00C12B7C">
      <w:r>
        <w:t xml:space="preserve">Agenda </w:t>
      </w:r>
    </w:p>
    <w:p w:rsidR="00C12B7C" w:rsidRDefault="00C12B7C">
      <w:r>
        <w:t>(Action items and person responsible in red)</w:t>
      </w:r>
    </w:p>
    <w:p w:rsidR="00C12B7C" w:rsidRDefault="00C12B7C"/>
    <w:p w:rsidR="00C12B7C" w:rsidRDefault="00C12B7C" w:rsidP="00C12B7C">
      <w:pPr>
        <w:pStyle w:val="ListParagraph"/>
        <w:numPr>
          <w:ilvl w:val="0"/>
          <w:numId w:val="25"/>
        </w:numPr>
      </w:pPr>
      <w:r>
        <w:t xml:space="preserve">Call to order (5 minutes), </w:t>
      </w:r>
      <w:r w:rsidR="00823D27">
        <w:t>Vickery</w:t>
      </w:r>
    </w:p>
    <w:p w:rsidR="00C12B7C" w:rsidRDefault="00823D27" w:rsidP="00C12B7C">
      <w:pPr>
        <w:pStyle w:val="ListParagraph"/>
        <w:numPr>
          <w:ilvl w:val="1"/>
          <w:numId w:val="25"/>
        </w:numPr>
      </w:pPr>
      <w:r>
        <w:t>Welcome, introductions</w:t>
      </w:r>
    </w:p>
    <w:p w:rsidR="00823D27" w:rsidRDefault="00C12B7C" w:rsidP="00823D27">
      <w:pPr>
        <w:pStyle w:val="ListParagraph"/>
        <w:numPr>
          <w:ilvl w:val="1"/>
          <w:numId w:val="25"/>
        </w:numPr>
      </w:pPr>
      <w:r>
        <w:t>Notetaker this meeting:</w:t>
      </w:r>
      <w:r w:rsidR="00F8316A">
        <w:t xml:space="preserve"> Vickery</w:t>
      </w:r>
    </w:p>
    <w:p w:rsidR="00D67FD6" w:rsidRDefault="00D67FD6" w:rsidP="00D67FD6"/>
    <w:p w:rsidR="00C12B7C" w:rsidRDefault="00823D27" w:rsidP="00C12B7C">
      <w:pPr>
        <w:pStyle w:val="ListParagraph"/>
        <w:numPr>
          <w:ilvl w:val="0"/>
          <w:numId w:val="25"/>
        </w:numPr>
      </w:pPr>
      <w:r>
        <w:t>Structure of meetings for 2016-17, Vickery</w:t>
      </w:r>
    </w:p>
    <w:p w:rsidR="00D67FD6" w:rsidRDefault="00823D27" w:rsidP="00F8316A">
      <w:pPr>
        <w:pStyle w:val="ListParagraph"/>
        <w:numPr>
          <w:ilvl w:val="1"/>
          <w:numId w:val="25"/>
        </w:numPr>
      </w:pPr>
      <w:r>
        <w:t>Web site, template</w:t>
      </w:r>
      <w:r w:rsidR="00F8316A">
        <w:t xml:space="preserve">. </w:t>
      </w:r>
    </w:p>
    <w:p w:rsidR="00823D27" w:rsidRDefault="00F8316A" w:rsidP="00D67FD6">
      <w:r>
        <w:t xml:space="preserve">We </w:t>
      </w:r>
      <w:r w:rsidRPr="00D67FD6">
        <w:t xml:space="preserve">reviewed the LOA web site </w:t>
      </w:r>
      <w:hyperlink r:id="rId8" w:history="1">
        <w:r w:rsidR="00D67FD6" w:rsidRPr="008C6422">
          <w:rPr>
            <w:rStyle w:val="Hyperlink"/>
          </w:rPr>
          <w:t>https://www.cocc.edu/academic-affairs/loa/</w:t>
        </w:r>
      </w:hyperlink>
      <w:r w:rsidRPr="00D67FD6">
        <w:t>.</w:t>
      </w:r>
    </w:p>
    <w:p w:rsidR="00D67FD6" w:rsidRPr="00D67FD6" w:rsidRDefault="00D67FD6" w:rsidP="00D67FD6"/>
    <w:p w:rsidR="00D67FD6" w:rsidRPr="00D67FD6" w:rsidRDefault="00823D27" w:rsidP="00D67FD6">
      <w:pPr>
        <w:pStyle w:val="ListParagraph"/>
        <w:numPr>
          <w:ilvl w:val="1"/>
          <w:numId w:val="25"/>
        </w:numPr>
        <w:rPr>
          <w:color w:val="FF0000"/>
        </w:rPr>
      </w:pPr>
      <w:r w:rsidRPr="00D67FD6">
        <w:t xml:space="preserve">Conducting </w:t>
      </w:r>
      <w:r>
        <w:t>meetings: frequency, duration, notes</w:t>
      </w:r>
      <w:r w:rsidR="00F8316A">
        <w:t xml:space="preserve">: </w:t>
      </w:r>
    </w:p>
    <w:p w:rsidR="00823D27" w:rsidRDefault="00F8316A" w:rsidP="00D67FD6">
      <w:pPr>
        <w:rPr>
          <w:color w:val="FF0000"/>
        </w:rPr>
      </w:pPr>
      <w:r>
        <w:t xml:space="preserve">We agreed to meet every other week (didn’t address duration so we can assume one hour). Discussed schedules. </w:t>
      </w:r>
      <w:r w:rsidRPr="00D67FD6">
        <w:rPr>
          <w:color w:val="FF0000"/>
        </w:rPr>
        <w:t>Vickery will set up Friday meeting time after 1:30, coordinating with Shannon’s schedule, but we may change that. Shannon’s outlook is set up for winter term; LOA members should let Vickery know when their winter schedules are up so she can look for another time.</w:t>
      </w:r>
    </w:p>
    <w:p w:rsidR="00D67FD6" w:rsidRPr="00D67FD6" w:rsidRDefault="00D67FD6" w:rsidP="00D67FD6">
      <w:pPr>
        <w:rPr>
          <w:color w:val="FF0000"/>
        </w:rPr>
      </w:pPr>
    </w:p>
    <w:p w:rsidR="00D67FD6" w:rsidRDefault="00823D27" w:rsidP="00823D27">
      <w:pPr>
        <w:pStyle w:val="ListParagraph"/>
        <w:numPr>
          <w:ilvl w:val="0"/>
          <w:numId w:val="25"/>
        </w:numPr>
      </w:pPr>
      <w:r>
        <w:t>Review of Charge, Wayne</w:t>
      </w:r>
      <w:r w:rsidR="00F8316A">
        <w:t xml:space="preserve"> </w:t>
      </w:r>
    </w:p>
    <w:p w:rsidR="00823D27" w:rsidRDefault="00F8316A" w:rsidP="00D67FD6">
      <w:r>
        <w:t xml:space="preserve">Reviewed charge on web site. </w:t>
      </w:r>
      <w:r w:rsidR="00D67FD6">
        <w:t xml:space="preserve">It says “map the relationships among and between courses, etc” and there was some discussion of different examples (such as Art’s use of colors). Also recognition that we do not want a one size fits all so that programs can adhere to accreditation needs. Clarification: LOA is not doing the mapping, but we are supporting faculty in doing the mapping. </w:t>
      </w:r>
    </w:p>
    <w:p w:rsidR="00D67FD6" w:rsidRDefault="00D67FD6" w:rsidP="00D67FD6"/>
    <w:p w:rsidR="00D67FD6" w:rsidRDefault="00D67FD6" w:rsidP="00D67FD6">
      <w:r>
        <w:t xml:space="preserve">Conversation about “green chemistry” and their recognition of good work; possibility that LOA can review assessment reports and help identify good work. </w:t>
      </w:r>
    </w:p>
    <w:p w:rsidR="00D67FD6" w:rsidRDefault="00D67FD6" w:rsidP="00D67FD6"/>
    <w:p w:rsidR="00D67FD6" w:rsidRDefault="00D67FD6" w:rsidP="00D67FD6">
      <w:r>
        <w:t>Also of interest: more sharing of examples at Assessment Day. This shows faculty the range of what is possible, and can also show that we all have work to do somewhere. To share, evaluate, and recognize good work could be an example of “closing the loop” that COCC talks about.</w:t>
      </w:r>
    </w:p>
    <w:p w:rsidR="00D67FD6" w:rsidRDefault="00D67FD6" w:rsidP="00D67FD6"/>
    <w:p w:rsidR="00823D27" w:rsidRDefault="00823D27" w:rsidP="00823D27">
      <w:pPr>
        <w:pStyle w:val="ListParagraph"/>
        <w:numPr>
          <w:ilvl w:val="0"/>
          <w:numId w:val="25"/>
        </w:numPr>
      </w:pPr>
      <w:r>
        <w:t>Review of 2015-16 work</w:t>
      </w:r>
    </w:p>
    <w:p w:rsidR="00823D27" w:rsidRDefault="00823D27" w:rsidP="00823D27">
      <w:pPr>
        <w:pStyle w:val="ListParagraph"/>
        <w:numPr>
          <w:ilvl w:val="1"/>
          <w:numId w:val="25"/>
        </w:numPr>
      </w:pPr>
      <w:r>
        <w:t>Committee background, Vickery</w:t>
      </w:r>
    </w:p>
    <w:p w:rsidR="00D67FD6" w:rsidRDefault="00D67FD6" w:rsidP="00D67FD6">
      <w:r>
        <w:t>LOA came out of recommendations in the Academic Master Planning process; assessment work should be directed by faculty. Last year’s group set the scene and received approval for a permanent advisor committee.</w:t>
      </w:r>
    </w:p>
    <w:p w:rsidR="00875505" w:rsidRDefault="00875505" w:rsidP="00D67FD6"/>
    <w:p w:rsidR="00823D27" w:rsidRDefault="00823D27" w:rsidP="00823D27">
      <w:pPr>
        <w:pStyle w:val="ListParagraph"/>
        <w:numPr>
          <w:ilvl w:val="1"/>
          <w:numId w:val="25"/>
        </w:numPr>
      </w:pPr>
      <w:r>
        <w:t>System of Instructional Assessment, Vickery</w:t>
      </w:r>
      <w:r w:rsidR="00D67FD6">
        <w:t xml:space="preserve"> </w:t>
      </w:r>
    </w:p>
    <w:p w:rsidR="00823D27" w:rsidRDefault="00F57D5D" w:rsidP="00823D27">
      <w:pPr>
        <w:pStyle w:val="ListParagraph"/>
        <w:numPr>
          <w:ilvl w:val="2"/>
          <w:numId w:val="25"/>
        </w:numPr>
      </w:pPr>
      <w:hyperlink r:id="rId9" w:history="1">
        <w:r w:rsidR="00823D27" w:rsidRPr="00BF585E">
          <w:rPr>
            <w:rStyle w:val="Hyperlink"/>
          </w:rPr>
          <w:t>Cycle of Assessmen</w:t>
        </w:r>
      </w:hyperlink>
      <w:r w:rsidR="00823D27">
        <w:t>t</w:t>
      </w:r>
    </w:p>
    <w:p w:rsidR="00823D27" w:rsidRDefault="00F57D5D" w:rsidP="00823D27">
      <w:pPr>
        <w:pStyle w:val="ListParagraph"/>
        <w:numPr>
          <w:ilvl w:val="2"/>
          <w:numId w:val="25"/>
        </w:numPr>
      </w:pPr>
      <w:hyperlink r:id="rId10" w:history="1">
        <w:r w:rsidR="00823D27" w:rsidRPr="00BF585E">
          <w:rPr>
            <w:rStyle w:val="Hyperlink"/>
          </w:rPr>
          <w:t>Glossary</w:t>
        </w:r>
      </w:hyperlink>
      <w:r w:rsidR="00BF585E">
        <w:t xml:space="preserve"> </w:t>
      </w:r>
    </w:p>
    <w:p w:rsidR="00D67FD6" w:rsidRDefault="00D67FD6" w:rsidP="00D67FD6">
      <w:r>
        <w:t>Tabled until next meeting.</w:t>
      </w:r>
    </w:p>
    <w:p w:rsidR="00875505" w:rsidRDefault="00875505" w:rsidP="00D67FD6"/>
    <w:p w:rsidR="00875505" w:rsidRDefault="00823D27" w:rsidP="00875505">
      <w:pPr>
        <w:pStyle w:val="ListParagraph"/>
        <w:numPr>
          <w:ilvl w:val="1"/>
          <w:numId w:val="25"/>
        </w:numPr>
      </w:pPr>
      <w:r>
        <w:lastRenderedPageBreak/>
        <w:t>Supporting faculty in writing SLOs, Mindy</w:t>
      </w:r>
    </w:p>
    <w:p w:rsidR="00875505" w:rsidRDefault="00875505" w:rsidP="00875505">
      <w:r>
        <w:t xml:space="preserve">Mindy shared her experience last year in first her surprise in Curriculum Committee requiring her to update outcomes and second in her updating of outcomes to be more current and useful. The change in outcomes may be a good “before” and “after” illustration for other faculty. </w:t>
      </w:r>
    </w:p>
    <w:p w:rsidR="00875505" w:rsidRDefault="00875505" w:rsidP="00875505"/>
    <w:p w:rsidR="00875505" w:rsidRDefault="00875505" w:rsidP="00875505">
      <w:r>
        <w:t xml:space="preserve">Discussion of lack of understanding that outcomes need to be approved by Curriculum Committee. This is not clearly understood. </w:t>
      </w:r>
    </w:p>
    <w:p w:rsidR="00875505" w:rsidRDefault="00875505" w:rsidP="00875505"/>
    <w:p w:rsidR="00875505" w:rsidRDefault="00875505" w:rsidP="00875505">
      <w:r>
        <w:t>Questions about how to incorporate PT/adjunct faculty in the outcomes design and development process—added to parking lot. Also, harder to get agreement of outcomes from many faculty members who teach the same class (BI, WR 121 examples).</w:t>
      </w:r>
    </w:p>
    <w:p w:rsidR="00875505" w:rsidRDefault="00875505" w:rsidP="00875505"/>
    <w:p w:rsidR="00823D27" w:rsidRDefault="00875505" w:rsidP="00875505">
      <w:r>
        <w:t xml:space="preserve">It may be of interest to do a norming session with Curriculum Committee. </w:t>
      </w:r>
    </w:p>
    <w:p w:rsidR="00BF585E" w:rsidRDefault="00BF585E" w:rsidP="00BF585E">
      <w:pPr>
        <w:pStyle w:val="ListParagraph"/>
        <w:numPr>
          <w:ilvl w:val="0"/>
          <w:numId w:val="25"/>
        </w:numPr>
      </w:pPr>
      <w:r>
        <w:t>Election of chair</w:t>
      </w:r>
    </w:p>
    <w:p w:rsidR="00F57D5D" w:rsidRPr="00F57D5D" w:rsidRDefault="00F57D5D" w:rsidP="00F57D5D">
      <w:pPr>
        <w:rPr>
          <w:color w:val="FF0000"/>
        </w:rPr>
      </w:pPr>
      <w:r>
        <w:t xml:space="preserve">Chair should be a faculty member, but it is early in new committee life to ask for leadership. Tabled until later in the term. </w:t>
      </w:r>
      <w:r w:rsidRPr="00F57D5D">
        <w:rPr>
          <w:color w:val="FF0000"/>
        </w:rPr>
        <w:t>Vickery will set next agenda with feedback from group.</w:t>
      </w:r>
    </w:p>
    <w:p w:rsidR="00F57D5D" w:rsidRDefault="00F57D5D" w:rsidP="00F57D5D"/>
    <w:p w:rsidR="00BF585E" w:rsidRDefault="00BF585E" w:rsidP="00BF585E">
      <w:pPr>
        <w:pStyle w:val="ListParagraph"/>
        <w:numPr>
          <w:ilvl w:val="0"/>
          <w:numId w:val="25"/>
        </w:numPr>
      </w:pPr>
      <w:r>
        <w:t>Plan for next meeting, All</w:t>
      </w:r>
    </w:p>
    <w:p w:rsidR="00F57D5D" w:rsidRDefault="00F57D5D" w:rsidP="00F57D5D">
      <w:r>
        <w:t>Tabled items from this meeting, still working on foundation.</w:t>
      </w:r>
    </w:p>
    <w:p w:rsidR="00C12B7C" w:rsidRDefault="00C12B7C"/>
    <w:p w:rsidR="00BF585E" w:rsidRDefault="00BF585E">
      <w:r>
        <w:t>Next meeting: (Nov. 18, December 2)</w:t>
      </w:r>
    </w:p>
    <w:p w:rsidR="00F57D5D" w:rsidRDefault="00F57D5D" w:rsidP="00BF585E"/>
    <w:p w:rsidR="00F57D5D" w:rsidRDefault="00F57D5D" w:rsidP="00BF585E">
      <w:bookmarkStart w:id="0" w:name="_GoBack"/>
      <w:bookmarkEnd w:id="0"/>
    </w:p>
    <w:p w:rsidR="00BF585E" w:rsidRDefault="00F57D5D" w:rsidP="00BF585E">
      <w:r>
        <w:t xml:space="preserve">Future </w:t>
      </w:r>
      <w:r w:rsidR="00BF585E">
        <w:t xml:space="preserve">Ideas: </w:t>
      </w:r>
    </w:p>
    <w:p w:rsidR="00823D27" w:rsidRDefault="00823D27" w:rsidP="00BF585E">
      <w:pPr>
        <w:pStyle w:val="ListParagraph"/>
        <w:numPr>
          <w:ilvl w:val="0"/>
          <w:numId w:val="26"/>
        </w:numPr>
      </w:pPr>
      <w:r>
        <w:t>Survey on Assessment Day</w:t>
      </w:r>
    </w:p>
    <w:p w:rsidR="00823D27" w:rsidRDefault="00823D27" w:rsidP="00BF585E">
      <w:pPr>
        <w:pStyle w:val="ListParagraph"/>
        <w:numPr>
          <w:ilvl w:val="0"/>
          <w:numId w:val="26"/>
        </w:numPr>
      </w:pPr>
      <w:r>
        <w:t>Program Assessment Report: Plans</w:t>
      </w:r>
    </w:p>
    <w:p w:rsidR="00823D27" w:rsidRDefault="00823D27"/>
    <w:p w:rsidR="00C12B7C" w:rsidRDefault="00C12B7C">
      <w:r>
        <w:t>Parking Lot:</w:t>
      </w:r>
    </w:p>
    <w:p w:rsidR="00C12B7C" w:rsidRDefault="00C12B7C" w:rsidP="00C12B7C">
      <w:pPr>
        <w:pStyle w:val="ListParagraph"/>
        <w:numPr>
          <w:ilvl w:val="0"/>
          <w:numId w:val="20"/>
        </w:numPr>
        <w:ind w:left="253" w:hanging="253"/>
      </w:pPr>
      <w:r>
        <w:t>Structure/Framework at COCC</w:t>
      </w:r>
    </w:p>
    <w:p w:rsidR="00C12B7C" w:rsidRDefault="00C12B7C" w:rsidP="00C12B7C">
      <w:pPr>
        <w:pStyle w:val="ListParagraph"/>
        <w:numPr>
          <w:ilvl w:val="0"/>
          <w:numId w:val="20"/>
        </w:numPr>
        <w:ind w:left="253" w:hanging="253"/>
      </w:pPr>
      <w:r>
        <w:t xml:space="preserve">How to assess/measure </w:t>
      </w:r>
    </w:p>
    <w:p w:rsidR="00C12B7C" w:rsidRDefault="00F57D5D" w:rsidP="004C17E4">
      <w:pPr>
        <w:pStyle w:val="ListParagraph"/>
        <w:numPr>
          <w:ilvl w:val="0"/>
          <w:numId w:val="20"/>
        </w:numPr>
        <w:ind w:left="253" w:hanging="253"/>
      </w:pPr>
      <w:r>
        <w:t>Outcome of p</w:t>
      </w:r>
      <w:r w:rsidR="00C12B7C">
        <w:t>rofessionalism – particularly in CTE programs</w:t>
      </w:r>
    </w:p>
    <w:p w:rsidR="00C12B7C" w:rsidRDefault="00C12B7C" w:rsidP="004C17E4">
      <w:pPr>
        <w:pStyle w:val="ListParagraph"/>
        <w:numPr>
          <w:ilvl w:val="0"/>
          <w:numId w:val="20"/>
        </w:numPr>
        <w:ind w:left="253" w:hanging="253"/>
      </w:pPr>
      <w:r>
        <w:t>Transfer degree outcomes (PCC/Gen Ed outcomes discussion)</w:t>
      </w:r>
    </w:p>
    <w:p w:rsidR="00F57D5D" w:rsidRDefault="00F57D5D" w:rsidP="004C17E4">
      <w:pPr>
        <w:pStyle w:val="ListParagraph"/>
        <w:numPr>
          <w:ilvl w:val="0"/>
          <w:numId w:val="20"/>
        </w:numPr>
        <w:ind w:left="253" w:hanging="253"/>
      </w:pPr>
      <w:r>
        <w:t>Support/$ for Pt faculty to participate in outcomes development, assessment</w:t>
      </w:r>
    </w:p>
    <w:p w:rsidR="001E4BA4" w:rsidRDefault="001E4BA4" w:rsidP="00EC114C"/>
    <w:p w:rsidR="00C12B7C" w:rsidRPr="00C80F7A" w:rsidRDefault="00C12B7C" w:rsidP="00EC114C"/>
    <w:sectPr w:rsidR="00C12B7C" w:rsidRPr="00C80F7A" w:rsidSect="006A3CB4">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F57D5D">
              <w:rPr>
                <w:b/>
                <w:bCs/>
                <w:noProof/>
                <w:sz w:val="16"/>
                <w:szCs w:val="16"/>
              </w:rPr>
              <w:t>2</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3C45"/>
    <w:multiLevelType w:val="hybridMultilevel"/>
    <w:tmpl w:val="EC12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5"/>
  </w:num>
  <w:num w:numId="4">
    <w:abstractNumId w:val="25"/>
  </w:num>
  <w:num w:numId="5">
    <w:abstractNumId w:val="4"/>
  </w:num>
  <w:num w:numId="6">
    <w:abstractNumId w:val="23"/>
  </w:num>
  <w:num w:numId="7">
    <w:abstractNumId w:val="6"/>
  </w:num>
  <w:num w:numId="8">
    <w:abstractNumId w:val="7"/>
  </w:num>
  <w:num w:numId="9">
    <w:abstractNumId w:val="9"/>
  </w:num>
  <w:num w:numId="10">
    <w:abstractNumId w:val="10"/>
  </w:num>
  <w:num w:numId="11">
    <w:abstractNumId w:val="20"/>
  </w:num>
  <w:num w:numId="12">
    <w:abstractNumId w:val="11"/>
  </w:num>
  <w:num w:numId="13">
    <w:abstractNumId w:val="15"/>
  </w:num>
  <w:num w:numId="14">
    <w:abstractNumId w:val="16"/>
  </w:num>
  <w:num w:numId="15">
    <w:abstractNumId w:val="2"/>
  </w:num>
  <w:num w:numId="16">
    <w:abstractNumId w:val="21"/>
  </w:num>
  <w:num w:numId="17">
    <w:abstractNumId w:val="14"/>
  </w:num>
  <w:num w:numId="18">
    <w:abstractNumId w:val="24"/>
  </w:num>
  <w:num w:numId="19">
    <w:abstractNumId w:val="17"/>
  </w:num>
  <w:num w:numId="20">
    <w:abstractNumId w:val="13"/>
  </w:num>
  <w:num w:numId="21">
    <w:abstractNumId w:val="18"/>
  </w:num>
  <w:num w:numId="22">
    <w:abstractNumId w:val="3"/>
  </w:num>
  <w:num w:numId="23">
    <w:abstractNumId w:val="12"/>
  </w:num>
  <w:num w:numId="24">
    <w:abstractNumId w:val="0"/>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1E06"/>
    <w:rsid w:val="000167E9"/>
    <w:rsid w:val="0004656C"/>
    <w:rsid w:val="00070CE6"/>
    <w:rsid w:val="0007235D"/>
    <w:rsid w:val="00083D79"/>
    <w:rsid w:val="000943DF"/>
    <w:rsid w:val="000B2540"/>
    <w:rsid w:val="000B4F70"/>
    <w:rsid w:val="000E00CE"/>
    <w:rsid w:val="000F2D64"/>
    <w:rsid w:val="001061F6"/>
    <w:rsid w:val="00107198"/>
    <w:rsid w:val="00166C72"/>
    <w:rsid w:val="001B07F6"/>
    <w:rsid w:val="001E0430"/>
    <w:rsid w:val="001E4BA4"/>
    <w:rsid w:val="001F2F23"/>
    <w:rsid w:val="001F7929"/>
    <w:rsid w:val="00204218"/>
    <w:rsid w:val="00223160"/>
    <w:rsid w:val="00223EDF"/>
    <w:rsid w:val="0023074D"/>
    <w:rsid w:val="00262F4F"/>
    <w:rsid w:val="00276FC3"/>
    <w:rsid w:val="002A395F"/>
    <w:rsid w:val="002E1D79"/>
    <w:rsid w:val="002F487E"/>
    <w:rsid w:val="003169F0"/>
    <w:rsid w:val="00320C7F"/>
    <w:rsid w:val="003261DA"/>
    <w:rsid w:val="00345783"/>
    <w:rsid w:val="00374339"/>
    <w:rsid w:val="00374B17"/>
    <w:rsid w:val="003B4EFA"/>
    <w:rsid w:val="003C6F5A"/>
    <w:rsid w:val="003C74F9"/>
    <w:rsid w:val="003D7E9A"/>
    <w:rsid w:val="00426709"/>
    <w:rsid w:val="00460E6B"/>
    <w:rsid w:val="00465A68"/>
    <w:rsid w:val="00486492"/>
    <w:rsid w:val="004A1222"/>
    <w:rsid w:val="004A4EBF"/>
    <w:rsid w:val="004B2B4A"/>
    <w:rsid w:val="004B56DE"/>
    <w:rsid w:val="004D0146"/>
    <w:rsid w:val="004D0D61"/>
    <w:rsid w:val="004D352A"/>
    <w:rsid w:val="004F0F7C"/>
    <w:rsid w:val="004F33D7"/>
    <w:rsid w:val="004F707C"/>
    <w:rsid w:val="005016BA"/>
    <w:rsid w:val="00503945"/>
    <w:rsid w:val="00512D5E"/>
    <w:rsid w:val="005622EC"/>
    <w:rsid w:val="00563D94"/>
    <w:rsid w:val="00577F27"/>
    <w:rsid w:val="005857F2"/>
    <w:rsid w:val="00594465"/>
    <w:rsid w:val="00596AD0"/>
    <w:rsid w:val="005974F1"/>
    <w:rsid w:val="005A57C6"/>
    <w:rsid w:val="005B2ECB"/>
    <w:rsid w:val="005C210A"/>
    <w:rsid w:val="005D5EBC"/>
    <w:rsid w:val="006366BC"/>
    <w:rsid w:val="006456C9"/>
    <w:rsid w:val="0067227F"/>
    <w:rsid w:val="00673BA9"/>
    <w:rsid w:val="00675B30"/>
    <w:rsid w:val="006A3CB4"/>
    <w:rsid w:val="006B0FA5"/>
    <w:rsid w:val="006D0D3D"/>
    <w:rsid w:val="006D6A53"/>
    <w:rsid w:val="00716DFB"/>
    <w:rsid w:val="00727BD3"/>
    <w:rsid w:val="00744D10"/>
    <w:rsid w:val="0078182E"/>
    <w:rsid w:val="007B6227"/>
    <w:rsid w:val="007C1A23"/>
    <w:rsid w:val="007C38B3"/>
    <w:rsid w:val="007C3CBF"/>
    <w:rsid w:val="007C50ED"/>
    <w:rsid w:val="007C7201"/>
    <w:rsid w:val="007D31C4"/>
    <w:rsid w:val="007D397F"/>
    <w:rsid w:val="007E196B"/>
    <w:rsid w:val="00823D27"/>
    <w:rsid w:val="00843620"/>
    <w:rsid w:val="00854669"/>
    <w:rsid w:val="0086741A"/>
    <w:rsid w:val="00867D5E"/>
    <w:rsid w:val="00870A69"/>
    <w:rsid w:val="00875505"/>
    <w:rsid w:val="00885936"/>
    <w:rsid w:val="0089168C"/>
    <w:rsid w:val="0089697A"/>
    <w:rsid w:val="00897E1E"/>
    <w:rsid w:val="008B32CD"/>
    <w:rsid w:val="008C2D9E"/>
    <w:rsid w:val="008C4F36"/>
    <w:rsid w:val="008D057D"/>
    <w:rsid w:val="008D080C"/>
    <w:rsid w:val="00973D3D"/>
    <w:rsid w:val="0097489F"/>
    <w:rsid w:val="009813E6"/>
    <w:rsid w:val="00985E45"/>
    <w:rsid w:val="009A3B2B"/>
    <w:rsid w:val="009B684E"/>
    <w:rsid w:val="00A82711"/>
    <w:rsid w:val="00AD26E6"/>
    <w:rsid w:val="00AD577B"/>
    <w:rsid w:val="00B16F22"/>
    <w:rsid w:val="00B459EF"/>
    <w:rsid w:val="00B56123"/>
    <w:rsid w:val="00B60D1E"/>
    <w:rsid w:val="00B627DE"/>
    <w:rsid w:val="00B9399A"/>
    <w:rsid w:val="00B96DBC"/>
    <w:rsid w:val="00BB20D6"/>
    <w:rsid w:val="00BC13E8"/>
    <w:rsid w:val="00BC695C"/>
    <w:rsid w:val="00BE4061"/>
    <w:rsid w:val="00BF585E"/>
    <w:rsid w:val="00BF7AD5"/>
    <w:rsid w:val="00C00D07"/>
    <w:rsid w:val="00C12B7C"/>
    <w:rsid w:val="00C51566"/>
    <w:rsid w:val="00C66630"/>
    <w:rsid w:val="00C72320"/>
    <w:rsid w:val="00C80F7A"/>
    <w:rsid w:val="00CA5375"/>
    <w:rsid w:val="00CC48ED"/>
    <w:rsid w:val="00CE6FF6"/>
    <w:rsid w:val="00CF30D2"/>
    <w:rsid w:val="00CF6051"/>
    <w:rsid w:val="00D459E3"/>
    <w:rsid w:val="00D67FD6"/>
    <w:rsid w:val="00D779D1"/>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57D5D"/>
    <w:rsid w:val="00F57D9A"/>
    <w:rsid w:val="00F66D5A"/>
    <w:rsid w:val="00F825C8"/>
    <w:rsid w:val="00F8316A"/>
    <w:rsid w:val="00F9636A"/>
    <w:rsid w:val="00FA531A"/>
    <w:rsid w:val="00FB0AD7"/>
    <w:rsid w:val="00FB7636"/>
    <w:rsid w:val="00FC43F9"/>
    <w:rsid w:val="00FD0B22"/>
    <w:rsid w:val="00F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c.edu/academic-affairs/lo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cc.edu/instructional-assessment/resources/resources-for-instructional-assessment/" TargetMode="External"/><Relationship Id="rId4" Type="http://schemas.openxmlformats.org/officeDocument/2006/relationships/settings" Target="settings.xml"/><Relationship Id="rId9" Type="http://schemas.openxmlformats.org/officeDocument/2006/relationships/hyperlink" Target="https://www.cocc.edu/instructional-assessment/cycle-of-instructional-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90C5-DE01-4EC9-ADD5-43A9EC00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2</cp:revision>
  <cp:lastPrinted>2015-04-14T18:24:00Z</cp:lastPrinted>
  <dcterms:created xsi:type="dcterms:W3CDTF">2016-11-05T00:48:00Z</dcterms:created>
  <dcterms:modified xsi:type="dcterms:W3CDTF">2016-11-05T00:48:00Z</dcterms:modified>
</cp:coreProperties>
</file>